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707"/>
        <w:gridCol w:w="708"/>
        <w:gridCol w:w="708"/>
        <w:gridCol w:w="708"/>
        <w:gridCol w:w="708"/>
        <w:gridCol w:w="708"/>
        <w:gridCol w:w="708"/>
        <w:gridCol w:w="708"/>
      </w:tblGrid>
      <w:tr w:rsidR="00656CDD" w:rsidRPr="00442146" w14:paraId="31108A15" w14:textId="77777777" w:rsidTr="00852DF1">
        <w:tc>
          <w:tcPr>
            <w:tcW w:w="9060" w:type="dxa"/>
            <w:gridSpan w:val="9"/>
            <w:tcBorders>
              <w:bottom w:val="single" w:sz="12" w:space="0" w:color="auto"/>
            </w:tcBorders>
          </w:tcPr>
          <w:p w14:paraId="07505D1B" w14:textId="0E005929" w:rsidR="00656CDD" w:rsidRPr="00442146" w:rsidRDefault="00654D4A" w:rsidP="00B44E90">
            <w:pPr>
              <w:rPr>
                <w:rFonts w:ascii="Times New Roman" w:hAnsi="Times New Roman" w:cs="Times New Roman"/>
                <w:sz w:val="24"/>
                <w:szCs w:val="24"/>
              </w:rPr>
            </w:pPr>
            <w:r>
              <w:rPr>
                <w:rFonts w:ascii="Arial" w:hAnsi="Arial" w:cs="Arial"/>
                <w:b/>
                <w:bCs/>
                <w:sz w:val="24"/>
                <w:szCs w:val="24"/>
              </w:rPr>
              <w:t>Table S</w:t>
            </w:r>
            <w:r w:rsidR="00D13D6C">
              <w:rPr>
                <w:rFonts w:ascii="Arial" w:hAnsi="Arial" w:cs="Arial" w:hint="eastAsia"/>
                <w:b/>
                <w:bCs/>
                <w:sz w:val="24"/>
                <w:szCs w:val="24"/>
              </w:rPr>
              <w:t>3</w:t>
            </w:r>
            <w:r w:rsidR="00656CDD" w:rsidRPr="00E966E6">
              <w:rPr>
                <w:rFonts w:ascii="Arial" w:hAnsi="Arial" w:cs="Arial"/>
                <w:sz w:val="24"/>
                <w:szCs w:val="24"/>
              </w:rPr>
              <w:t xml:space="preserve"> </w:t>
            </w:r>
            <w:r w:rsidR="00953733" w:rsidRPr="00442146">
              <w:rPr>
                <w:rFonts w:ascii="Times New Roman" w:hAnsi="Times New Roman" w:cs="Times New Roman"/>
                <w:sz w:val="24"/>
                <w:szCs w:val="24"/>
              </w:rPr>
              <w:t>R</w:t>
            </w:r>
            <w:r w:rsidR="00656CDD" w:rsidRPr="00442146">
              <w:rPr>
                <w:rFonts w:ascii="Times New Roman" w:hAnsi="Times New Roman" w:cs="Times New Roman"/>
                <w:sz w:val="24"/>
                <w:szCs w:val="24"/>
              </w:rPr>
              <w:t>esults of the risk of bias assessment</w:t>
            </w:r>
            <w:r>
              <w:rPr>
                <w:rFonts w:ascii="Times New Roman" w:hAnsi="Times New Roman" w:cs="Times New Roman" w:hint="eastAsia"/>
                <w:sz w:val="24"/>
                <w:szCs w:val="24"/>
              </w:rPr>
              <w:t>.</w:t>
            </w:r>
          </w:p>
        </w:tc>
      </w:tr>
      <w:tr w:rsidR="003C2F46" w:rsidRPr="00442146" w14:paraId="13642C81" w14:textId="77777777" w:rsidTr="00852DF1">
        <w:tc>
          <w:tcPr>
            <w:tcW w:w="3397" w:type="dxa"/>
            <w:tcBorders>
              <w:top w:val="single" w:sz="12" w:space="0" w:color="auto"/>
              <w:bottom w:val="single" w:sz="12" w:space="0" w:color="auto"/>
            </w:tcBorders>
            <w:vAlign w:val="center"/>
          </w:tcPr>
          <w:p w14:paraId="28A4AB8D" w14:textId="1C9481DB" w:rsidR="00B44E90" w:rsidRPr="00442146" w:rsidRDefault="00B44E90" w:rsidP="000849F5">
            <w:pPr>
              <w:jc w:val="center"/>
              <w:rPr>
                <w:rFonts w:ascii="Times New Roman" w:hAnsi="Times New Roman" w:cs="Times New Roman"/>
                <w:sz w:val="24"/>
                <w:szCs w:val="24"/>
              </w:rPr>
            </w:pPr>
            <w:r w:rsidRPr="00442146">
              <w:rPr>
                <w:rFonts w:ascii="Times New Roman" w:hAnsi="Times New Roman" w:cs="Times New Roman"/>
                <w:sz w:val="24"/>
                <w:szCs w:val="24"/>
              </w:rPr>
              <w:t>Author (years)</w:t>
            </w:r>
          </w:p>
        </w:tc>
        <w:tc>
          <w:tcPr>
            <w:tcW w:w="707" w:type="dxa"/>
            <w:tcBorders>
              <w:top w:val="single" w:sz="12" w:space="0" w:color="auto"/>
              <w:bottom w:val="single" w:sz="12" w:space="0" w:color="auto"/>
            </w:tcBorders>
            <w:vAlign w:val="center"/>
          </w:tcPr>
          <w:p w14:paraId="505611BE" w14:textId="4C0BB4E5"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D1</w:t>
            </w:r>
          </w:p>
        </w:tc>
        <w:tc>
          <w:tcPr>
            <w:tcW w:w="708" w:type="dxa"/>
            <w:tcBorders>
              <w:top w:val="single" w:sz="12" w:space="0" w:color="auto"/>
              <w:bottom w:val="single" w:sz="12" w:space="0" w:color="auto"/>
            </w:tcBorders>
            <w:vAlign w:val="center"/>
          </w:tcPr>
          <w:p w14:paraId="10F397D8" w14:textId="7BACBA99"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D2</w:t>
            </w:r>
          </w:p>
        </w:tc>
        <w:tc>
          <w:tcPr>
            <w:tcW w:w="708" w:type="dxa"/>
            <w:tcBorders>
              <w:top w:val="single" w:sz="12" w:space="0" w:color="auto"/>
              <w:bottom w:val="single" w:sz="12" w:space="0" w:color="auto"/>
            </w:tcBorders>
            <w:vAlign w:val="center"/>
          </w:tcPr>
          <w:p w14:paraId="6C14E992" w14:textId="5E4BAA7B"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D3</w:t>
            </w:r>
          </w:p>
        </w:tc>
        <w:tc>
          <w:tcPr>
            <w:tcW w:w="708" w:type="dxa"/>
            <w:tcBorders>
              <w:top w:val="single" w:sz="12" w:space="0" w:color="auto"/>
              <w:bottom w:val="single" w:sz="12" w:space="0" w:color="auto"/>
            </w:tcBorders>
            <w:vAlign w:val="center"/>
          </w:tcPr>
          <w:p w14:paraId="79517767" w14:textId="5E76554F"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D4</w:t>
            </w:r>
          </w:p>
        </w:tc>
        <w:tc>
          <w:tcPr>
            <w:tcW w:w="708" w:type="dxa"/>
            <w:tcBorders>
              <w:top w:val="single" w:sz="12" w:space="0" w:color="auto"/>
              <w:bottom w:val="single" w:sz="12" w:space="0" w:color="auto"/>
            </w:tcBorders>
            <w:vAlign w:val="center"/>
          </w:tcPr>
          <w:p w14:paraId="455EA3E0" w14:textId="0111C35D"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D5</w:t>
            </w:r>
          </w:p>
        </w:tc>
        <w:tc>
          <w:tcPr>
            <w:tcW w:w="708" w:type="dxa"/>
            <w:tcBorders>
              <w:top w:val="single" w:sz="12" w:space="0" w:color="auto"/>
              <w:bottom w:val="single" w:sz="12" w:space="0" w:color="auto"/>
            </w:tcBorders>
            <w:vAlign w:val="center"/>
          </w:tcPr>
          <w:p w14:paraId="5AC1B326" w14:textId="309F5BFE"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D6</w:t>
            </w:r>
          </w:p>
        </w:tc>
        <w:tc>
          <w:tcPr>
            <w:tcW w:w="708" w:type="dxa"/>
            <w:tcBorders>
              <w:top w:val="single" w:sz="12" w:space="0" w:color="auto"/>
              <w:bottom w:val="single" w:sz="12" w:space="0" w:color="auto"/>
            </w:tcBorders>
            <w:vAlign w:val="center"/>
          </w:tcPr>
          <w:p w14:paraId="54028C6C" w14:textId="19A56769"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D7</w:t>
            </w:r>
          </w:p>
        </w:tc>
        <w:tc>
          <w:tcPr>
            <w:tcW w:w="708" w:type="dxa"/>
            <w:tcBorders>
              <w:top w:val="single" w:sz="12" w:space="0" w:color="auto"/>
              <w:bottom w:val="single" w:sz="12" w:space="0" w:color="auto"/>
            </w:tcBorders>
            <w:vAlign w:val="center"/>
          </w:tcPr>
          <w:p w14:paraId="00D2005A" w14:textId="46ED5218" w:rsidR="00B44E90" w:rsidRPr="00442146" w:rsidRDefault="00656CDD" w:rsidP="00394F9E">
            <w:pPr>
              <w:jc w:val="center"/>
              <w:rPr>
                <w:rFonts w:ascii="Times New Roman" w:hAnsi="Times New Roman" w:cs="Times New Roman"/>
                <w:sz w:val="24"/>
                <w:szCs w:val="24"/>
              </w:rPr>
            </w:pPr>
            <w:r w:rsidRPr="00442146">
              <w:rPr>
                <w:rFonts w:ascii="Times New Roman" w:hAnsi="Times New Roman" w:cs="Times New Roman"/>
                <w:sz w:val="24"/>
                <w:szCs w:val="24"/>
              </w:rPr>
              <w:t>D8</w:t>
            </w:r>
          </w:p>
        </w:tc>
      </w:tr>
      <w:tr w:rsidR="00A4534B" w:rsidRPr="00442146" w14:paraId="50FEF1A0" w14:textId="77777777" w:rsidTr="00852DF1">
        <w:tc>
          <w:tcPr>
            <w:tcW w:w="3397" w:type="dxa"/>
            <w:tcBorders>
              <w:top w:val="single" w:sz="12" w:space="0" w:color="auto"/>
            </w:tcBorders>
            <w:vAlign w:val="bottom"/>
          </w:tcPr>
          <w:p w14:paraId="050C0000" w14:textId="23AEE3B9"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Mascherini</w:t>
            </w:r>
            <w:proofErr w:type="spellEnd"/>
            <w:r w:rsidRPr="00442146">
              <w:rPr>
                <w:rFonts w:ascii="Times New Roman" w:eastAsia="等线" w:hAnsi="Times New Roman" w:cs="Times New Roman"/>
                <w:color w:val="000000"/>
                <w:sz w:val="24"/>
                <w:szCs w:val="24"/>
              </w:rPr>
              <w:t xml:space="preserve"> et al. (2017)</w:t>
            </w:r>
          </w:p>
        </w:tc>
        <w:tc>
          <w:tcPr>
            <w:tcW w:w="707" w:type="dxa"/>
            <w:tcBorders>
              <w:top w:val="single" w:sz="12" w:space="0" w:color="auto"/>
            </w:tcBorders>
            <w:shd w:val="clear" w:color="auto" w:fill="8DD873" w:themeFill="accent6" w:themeFillTint="99"/>
            <w:vAlign w:val="center"/>
          </w:tcPr>
          <w:p w14:paraId="3868A248" w14:textId="0737260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21266EAD" w14:textId="1CFC7AF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5A709BCB" w14:textId="7EF199C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2D159663" w14:textId="28EA6CF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30370D10" w14:textId="4D6B027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4AFCE206" w14:textId="79552FD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6277D765" w14:textId="0427137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2A8F2804" w14:textId="30645EE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A4534B" w:rsidRPr="00442146" w14:paraId="2E68B3CF" w14:textId="77777777" w:rsidTr="00852DF1">
        <w:tc>
          <w:tcPr>
            <w:tcW w:w="3397" w:type="dxa"/>
            <w:vAlign w:val="bottom"/>
          </w:tcPr>
          <w:p w14:paraId="5F886E99" w14:textId="0762F405"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Baker et al. (2020)</w:t>
            </w:r>
          </w:p>
        </w:tc>
        <w:tc>
          <w:tcPr>
            <w:tcW w:w="707" w:type="dxa"/>
            <w:shd w:val="clear" w:color="auto" w:fill="FF0000"/>
            <w:vAlign w:val="center"/>
          </w:tcPr>
          <w:p w14:paraId="1007DDDE" w14:textId="69E2F96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FFFF00"/>
            <w:vAlign w:val="center"/>
          </w:tcPr>
          <w:p w14:paraId="18D751E9" w14:textId="7D8C0DC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176E1D55" w14:textId="1520CA3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667F681" w14:textId="02B33EB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D68AEA6" w14:textId="7E5E0E2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400CC7B" w14:textId="7BD1AE7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DB14AAC" w14:textId="0D7A679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58A86F9" w14:textId="5B2ECB7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24DDDD67" w14:textId="77777777" w:rsidTr="00852DF1">
        <w:tc>
          <w:tcPr>
            <w:tcW w:w="3397" w:type="dxa"/>
            <w:vAlign w:val="bottom"/>
          </w:tcPr>
          <w:p w14:paraId="01C6CC44" w14:textId="7A38260D"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Hedt</w:t>
            </w:r>
            <w:proofErr w:type="spellEnd"/>
            <w:r w:rsidRPr="00442146">
              <w:rPr>
                <w:rFonts w:ascii="Times New Roman" w:eastAsia="等线" w:hAnsi="Times New Roman" w:cs="Times New Roman"/>
                <w:color w:val="000000"/>
                <w:sz w:val="24"/>
                <w:szCs w:val="24"/>
              </w:rPr>
              <w:t xml:space="preserve"> et al. (2022)</w:t>
            </w:r>
          </w:p>
        </w:tc>
        <w:tc>
          <w:tcPr>
            <w:tcW w:w="707" w:type="dxa"/>
            <w:shd w:val="clear" w:color="auto" w:fill="8DD873" w:themeFill="accent6" w:themeFillTint="99"/>
            <w:vAlign w:val="center"/>
          </w:tcPr>
          <w:p w14:paraId="42970BCB" w14:textId="1093DB6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37AC4257" w14:textId="4076776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6679DB0B" w14:textId="6E03FC2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6BD53439" w14:textId="7304F4D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D4158E1" w14:textId="4006A87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EFB9869" w14:textId="04C5608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512EAE9" w14:textId="6BDFA88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1CA9C61" w14:textId="30FDAD1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5D05C541" w14:textId="77777777" w:rsidTr="00852DF1">
        <w:tc>
          <w:tcPr>
            <w:tcW w:w="3397" w:type="dxa"/>
            <w:vAlign w:val="bottom"/>
          </w:tcPr>
          <w:p w14:paraId="50882BA8" w14:textId="5718B071"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Schons et al. (2022)</w:t>
            </w:r>
          </w:p>
        </w:tc>
        <w:tc>
          <w:tcPr>
            <w:tcW w:w="707" w:type="dxa"/>
            <w:shd w:val="clear" w:color="auto" w:fill="8DD873" w:themeFill="accent6" w:themeFillTint="99"/>
            <w:vAlign w:val="center"/>
          </w:tcPr>
          <w:p w14:paraId="12FFAA12" w14:textId="0B0E555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752C2670" w14:textId="217D0B5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39CB95D7" w14:textId="043798F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2403C62" w14:textId="0BC2C10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5596F4B" w14:textId="158FBF0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30F551B" w14:textId="6EAA312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E40C3E1" w14:textId="5DF221A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5A744C2" w14:textId="15A4EB2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70195716" w14:textId="77777777" w:rsidTr="00852DF1">
        <w:tc>
          <w:tcPr>
            <w:tcW w:w="3397" w:type="dxa"/>
            <w:vAlign w:val="bottom"/>
          </w:tcPr>
          <w:p w14:paraId="416D3557" w14:textId="6935B24B"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Tornero-Aguilera et al. (2022)</w:t>
            </w:r>
          </w:p>
        </w:tc>
        <w:tc>
          <w:tcPr>
            <w:tcW w:w="707" w:type="dxa"/>
            <w:shd w:val="clear" w:color="auto" w:fill="8DD873" w:themeFill="accent6" w:themeFillTint="99"/>
            <w:vAlign w:val="center"/>
          </w:tcPr>
          <w:p w14:paraId="15A42592" w14:textId="478AE19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55421925" w14:textId="488EBB8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63CB88BD" w14:textId="5EB7FA4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249B4DF" w14:textId="0E256CB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0AC8C4E" w14:textId="278BD46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68F5623" w14:textId="7861432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3E879B3" w14:textId="2F5C53B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8917A9B" w14:textId="32E0D9A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7E6EC880" w14:textId="77777777" w:rsidTr="00852DF1">
        <w:tc>
          <w:tcPr>
            <w:tcW w:w="3397" w:type="dxa"/>
            <w:vAlign w:val="bottom"/>
          </w:tcPr>
          <w:p w14:paraId="172ECB79" w14:textId="4C05DFE1"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Toro-Román et al. (2023a)</w:t>
            </w:r>
          </w:p>
        </w:tc>
        <w:tc>
          <w:tcPr>
            <w:tcW w:w="707" w:type="dxa"/>
            <w:shd w:val="clear" w:color="auto" w:fill="FF0000"/>
            <w:vAlign w:val="center"/>
          </w:tcPr>
          <w:p w14:paraId="7940AAC2" w14:textId="6DC5D1B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8DD873" w:themeFill="accent6" w:themeFillTint="99"/>
            <w:vAlign w:val="center"/>
          </w:tcPr>
          <w:p w14:paraId="40E3D175" w14:textId="27C66EE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EE74E71" w14:textId="6AD9CB5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AB93632" w14:textId="15E544B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E60DA6D" w14:textId="303BB8D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4A885A0" w14:textId="0E89282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01B390C" w14:textId="64A6164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F6846BF" w14:textId="102874F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4699C32A" w14:textId="77777777" w:rsidTr="00852DF1">
        <w:tc>
          <w:tcPr>
            <w:tcW w:w="3397" w:type="dxa"/>
            <w:vAlign w:val="bottom"/>
          </w:tcPr>
          <w:p w14:paraId="2645DFE3" w14:textId="186AA584"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Ahmad et al. (2024)</w:t>
            </w:r>
          </w:p>
        </w:tc>
        <w:tc>
          <w:tcPr>
            <w:tcW w:w="707" w:type="dxa"/>
            <w:shd w:val="clear" w:color="auto" w:fill="8DD873" w:themeFill="accent6" w:themeFillTint="99"/>
            <w:vAlign w:val="center"/>
          </w:tcPr>
          <w:p w14:paraId="61AACD5F" w14:textId="140F3FD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7095A168" w14:textId="56E3DDA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375E0233" w14:textId="0255FE8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2C873C44" w14:textId="156E38C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B1FB918" w14:textId="1EB3309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B0CB6FE" w14:textId="59DB229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1D50FFA" w14:textId="7CBC3C2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5D2E4A1" w14:textId="631307C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E5C5F31" w14:textId="77777777" w:rsidTr="00852DF1">
        <w:tc>
          <w:tcPr>
            <w:tcW w:w="3397" w:type="dxa"/>
            <w:vAlign w:val="bottom"/>
          </w:tcPr>
          <w:p w14:paraId="13E0F176" w14:textId="4E5C6636"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Petri et al. (2024a)</w:t>
            </w:r>
          </w:p>
        </w:tc>
        <w:tc>
          <w:tcPr>
            <w:tcW w:w="707" w:type="dxa"/>
            <w:shd w:val="clear" w:color="auto" w:fill="8DD873" w:themeFill="accent6" w:themeFillTint="99"/>
            <w:vAlign w:val="center"/>
          </w:tcPr>
          <w:p w14:paraId="379BEF1E" w14:textId="642C405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74313507" w14:textId="6E2A1AC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1ECC334C" w14:textId="70570F1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AD8B7DD" w14:textId="769E8C4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712572E" w14:textId="42B7E8F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5A73489" w14:textId="0475ABE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A9747C8" w14:textId="5FDE82B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8A99F97" w14:textId="2C7116B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675EFB6E" w14:textId="77777777" w:rsidTr="00852DF1">
        <w:tc>
          <w:tcPr>
            <w:tcW w:w="3397" w:type="dxa"/>
            <w:vAlign w:val="bottom"/>
          </w:tcPr>
          <w:p w14:paraId="58BC8DAD" w14:textId="49C9F45E"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Petri et al. (2024b)</w:t>
            </w:r>
          </w:p>
        </w:tc>
        <w:tc>
          <w:tcPr>
            <w:tcW w:w="707" w:type="dxa"/>
            <w:shd w:val="clear" w:color="auto" w:fill="8DD873" w:themeFill="accent6" w:themeFillTint="99"/>
            <w:vAlign w:val="center"/>
          </w:tcPr>
          <w:p w14:paraId="54940C80" w14:textId="574AF96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EB05E7E" w14:textId="5D93352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5F25F95D" w14:textId="64CC158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4EDC4CB6" w14:textId="3CE4BEF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477B97B" w14:textId="412FCD1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0139BF2" w14:textId="23B8F8F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B525AEB" w14:textId="28F065A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176D891" w14:textId="07ED679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26C81F51" w14:textId="77777777" w:rsidTr="00852DF1">
        <w:tc>
          <w:tcPr>
            <w:tcW w:w="3397" w:type="dxa"/>
            <w:vAlign w:val="bottom"/>
          </w:tcPr>
          <w:p w14:paraId="7458B772" w14:textId="63B09050"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Ichinose et al. (1998)</w:t>
            </w:r>
          </w:p>
        </w:tc>
        <w:tc>
          <w:tcPr>
            <w:tcW w:w="707" w:type="dxa"/>
            <w:shd w:val="clear" w:color="auto" w:fill="8DD873" w:themeFill="accent6" w:themeFillTint="99"/>
            <w:vAlign w:val="center"/>
          </w:tcPr>
          <w:p w14:paraId="0A8289BA" w14:textId="7091F73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CEA5B0B" w14:textId="627481C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55B390DB" w14:textId="5314D62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64C915EC" w14:textId="1704156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15ADBF3" w14:textId="3D23C44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5B4AB41" w14:textId="6CAF0A8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F1ABC5F" w14:textId="0920CDA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FB96799" w14:textId="4177AE8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0A475D8" w14:textId="77777777" w:rsidTr="00852DF1">
        <w:tc>
          <w:tcPr>
            <w:tcW w:w="3397" w:type="dxa"/>
            <w:vAlign w:val="bottom"/>
          </w:tcPr>
          <w:p w14:paraId="74291647" w14:textId="079D48EC"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Kanehisa</w:t>
            </w:r>
            <w:proofErr w:type="spellEnd"/>
            <w:r w:rsidRPr="00442146">
              <w:rPr>
                <w:rFonts w:ascii="Times New Roman" w:eastAsia="等线" w:hAnsi="Times New Roman" w:cs="Times New Roman"/>
                <w:color w:val="000000"/>
                <w:sz w:val="24"/>
                <w:szCs w:val="24"/>
              </w:rPr>
              <w:t xml:space="preserve"> et al. (2003)</w:t>
            </w:r>
          </w:p>
        </w:tc>
        <w:tc>
          <w:tcPr>
            <w:tcW w:w="707" w:type="dxa"/>
            <w:shd w:val="clear" w:color="auto" w:fill="8DD873" w:themeFill="accent6" w:themeFillTint="99"/>
            <w:vAlign w:val="center"/>
          </w:tcPr>
          <w:p w14:paraId="6748891E" w14:textId="4C4336C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64C13051" w14:textId="3CE2CBB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62678D42" w14:textId="32B0BAF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39A30427" w14:textId="75ADDA5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DE32A94" w14:textId="0A7F1FA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EE54482" w14:textId="61BDD59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C8219C6" w14:textId="3C2F308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623A602" w14:textId="6A65282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3D554670" w14:textId="77777777" w:rsidTr="00852DF1">
        <w:tc>
          <w:tcPr>
            <w:tcW w:w="3397" w:type="dxa"/>
            <w:vAlign w:val="bottom"/>
          </w:tcPr>
          <w:p w14:paraId="10498E27" w14:textId="380342E0"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Hewett et al. (2006)</w:t>
            </w:r>
          </w:p>
        </w:tc>
        <w:tc>
          <w:tcPr>
            <w:tcW w:w="707" w:type="dxa"/>
            <w:shd w:val="clear" w:color="auto" w:fill="8DD873" w:themeFill="accent6" w:themeFillTint="99"/>
            <w:vAlign w:val="center"/>
          </w:tcPr>
          <w:p w14:paraId="70DF27DC" w14:textId="251B794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3C091DE1" w14:textId="345025A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44CC1D6D" w14:textId="5693231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6591AC85" w14:textId="11BF883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09466ED" w14:textId="360847C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83D4831" w14:textId="6221DFE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207858C" w14:textId="2029540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59B2E8A" w14:textId="6640254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0D903208" w14:textId="77777777" w:rsidTr="00852DF1">
        <w:tc>
          <w:tcPr>
            <w:tcW w:w="3397" w:type="dxa"/>
            <w:vAlign w:val="bottom"/>
          </w:tcPr>
          <w:p w14:paraId="0B7C1C85" w14:textId="70296D9A"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Hart et al. (2007)</w:t>
            </w:r>
          </w:p>
        </w:tc>
        <w:tc>
          <w:tcPr>
            <w:tcW w:w="707" w:type="dxa"/>
            <w:shd w:val="clear" w:color="auto" w:fill="8DD873" w:themeFill="accent6" w:themeFillTint="99"/>
            <w:vAlign w:val="center"/>
          </w:tcPr>
          <w:p w14:paraId="335EC806" w14:textId="52C965D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562C6060" w14:textId="14854EA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7F7A26AD" w14:textId="4BA021B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C2AB8F5" w14:textId="4548062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E063717" w14:textId="57AE130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F7C4E04" w14:textId="05091C6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EC9AF11" w14:textId="4C4518F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A4E012F" w14:textId="4C01116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A9135A6" w14:textId="77777777" w:rsidTr="00852DF1">
        <w:tc>
          <w:tcPr>
            <w:tcW w:w="3397" w:type="dxa"/>
            <w:vAlign w:val="bottom"/>
          </w:tcPr>
          <w:p w14:paraId="6FDC1B18" w14:textId="005EB22C"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Brophy et al. (2009)</w:t>
            </w:r>
          </w:p>
        </w:tc>
        <w:tc>
          <w:tcPr>
            <w:tcW w:w="707" w:type="dxa"/>
            <w:shd w:val="clear" w:color="auto" w:fill="8DD873" w:themeFill="accent6" w:themeFillTint="99"/>
            <w:vAlign w:val="center"/>
          </w:tcPr>
          <w:p w14:paraId="6A085EC7" w14:textId="7683F0B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5E28EA42" w14:textId="262BF01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62AFCA61" w14:textId="59F936A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CF3D45E" w14:textId="7A2934E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126C78F" w14:textId="4DAFCA8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7C26F46" w14:textId="4D5ADA2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9339E5C" w14:textId="3ED85F9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C4EEAC5" w14:textId="3D0AEA2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0256EAE9" w14:textId="77777777" w:rsidTr="00852DF1">
        <w:tc>
          <w:tcPr>
            <w:tcW w:w="3397" w:type="dxa"/>
            <w:vAlign w:val="bottom"/>
          </w:tcPr>
          <w:p w14:paraId="4FC3EFFB" w14:textId="4BE5F3F6"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sz w:val="24"/>
                <w:szCs w:val="24"/>
              </w:rPr>
              <w:t>Zebis et al. (2011)</w:t>
            </w:r>
          </w:p>
        </w:tc>
        <w:tc>
          <w:tcPr>
            <w:tcW w:w="707" w:type="dxa"/>
            <w:shd w:val="clear" w:color="auto" w:fill="8DD873" w:themeFill="accent6" w:themeFillTint="99"/>
            <w:vAlign w:val="center"/>
          </w:tcPr>
          <w:p w14:paraId="2ADA3F62" w14:textId="43DD845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11BE6C38" w14:textId="3049883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514A5D1C" w14:textId="5237C89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2CE2E0ED" w14:textId="147A10C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6DBB134" w14:textId="7F3D0F3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529C7D9" w14:textId="1F265DE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EE48CE6" w14:textId="39E167A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0FE2ED2" w14:textId="7471105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2537BA5F" w14:textId="77777777" w:rsidTr="00852DF1">
        <w:tc>
          <w:tcPr>
            <w:tcW w:w="3397" w:type="dxa"/>
            <w:vAlign w:val="bottom"/>
          </w:tcPr>
          <w:p w14:paraId="5B7E9E19" w14:textId="4FCD0420"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Burfeind et al. (2012)</w:t>
            </w:r>
          </w:p>
        </w:tc>
        <w:tc>
          <w:tcPr>
            <w:tcW w:w="707" w:type="dxa"/>
            <w:shd w:val="clear" w:color="auto" w:fill="8DD873" w:themeFill="accent6" w:themeFillTint="99"/>
            <w:vAlign w:val="center"/>
          </w:tcPr>
          <w:p w14:paraId="2383FA6E" w14:textId="49083ED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192B142C" w14:textId="79B7271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24B19708" w14:textId="6965EA0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4BFBC67A" w14:textId="4269EA8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4FA157B" w14:textId="6B4146C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916DD62" w14:textId="5D92B0B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D37E04D" w14:textId="002AAAD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3A4D2CC" w14:textId="718D4BA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4EF0EF3C" w14:textId="77777777" w:rsidTr="00852DF1">
        <w:tc>
          <w:tcPr>
            <w:tcW w:w="3397" w:type="dxa"/>
            <w:vAlign w:val="bottom"/>
          </w:tcPr>
          <w:p w14:paraId="65F59551" w14:textId="07242D19"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Yilmaz et al. (2023)</w:t>
            </w:r>
          </w:p>
        </w:tc>
        <w:tc>
          <w:tcPr>
            <w:tcW w:w="707" w:type="dxa"/>
            <w:shd w:val="clear" w:color="auto" w:fill="8DD873" w:themeFill="accent6" w:themeFillTint="99"/>
            <w:vAlign w:val="center"/>
          </w:tcPr>
          <w:p w14:paraId="196E3738" w14:textId="1440D9E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34491D4F" w14:textId="17FCF08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73F641DA" w14:textId="7E756BF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9494673" w14:textId="5CC3B51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B20862B" w14:textId="4CF61DF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9C7D1AC" w14:textId="3D2E7DC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1C39A37" w14:textId="0FFA826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7FFE495" w14:textId="10C95CD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2D769605" w14:textId="77777777" w:rsidTr="00852DF1">
        <w:tc>
          <w:tcPr>
            <w:tcW w:w="3397" w:type="dxa"/>
            <w:vAlign w:val="bottom"/>
          </w:tcPr>
          <w:p w14:paraId="0C16B91A" w14:textId="11E2DA06"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Steding et al. (2010)</w:t>
            </w:r>
          </w:p>
        </w:tc>
        <w:tc>
          <w:tcPr>
            <w:tcW w:w="707" w:type="dxa"/>
            <w:shd w:val="clear" w:color="auto" w:fill="8DD873" w:themeFill="accent6" w:themeFillTint="99"/>
            <w:vAlign w:val="center"/>
          </w:tcPr>
          <w:p w14:paraId="5EC7C7ED" w14:textId="483DF56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314DB2C1" w14:textId="192A29B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CCF5FEC" w14:textId="0C83C9A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A9F90FE" w14:textId="0294B1F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68A12DA" w14:textId="68EBB75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A01FFFA" w14:textId="69ECF52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9C5D7EF" w14:textId="28B96C1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5F9DBEB" w14:textId="4EE728D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0326FA27" w14:textId="77777777" w:rsidTr="00852DF1">
        <w:tc>
          <w:tcPr>
            <w:tcW w:w="3397" w:type="dxa"/>
            <w:vAlign w:val="bottom"/>
          </w:tcPr>
          <w:p w14:paraId="39661AE1" w14:textId="46D2C5A9"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Chamera</w:t>
            </w:r>
            <w:proofErr w:type="spellEnd"/>
            <w:r w:rsidRPr="00442146">
              <w:rPr>
                <w:rFonts w:ascii="Times New Roman" w:eastAsia="等线" w:hAnsi="Times New Roman" w:cs="Times New Roman"/>
                <w:color w:val="000000"/>
                <w:sz w:val="24"/>
                <w:szCs w:val="24"/>
              </w:rPr>
              <w:t xml:space="preserve"> et al. (2014)</w:t>
            </w:r>
          </w:p>
        </w:tc>
        <w:tc>
          <w:tcPr>
            <w:tcW w:w="707" w:type="dxa"/>
            <w:shd w:val="clear" w:color="auto" w:fill="FF0000"/>
            <w:vAlign w:val="center"/>
          </w:tcPr>
          <w:p w14:paraId="1D21F425" w14:textId="16AB0BD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FFFF00"/>
            <w:vAlign w:val="center"/>
          </w:tcPr>
          <w:p w14:paraId="3A9FF114" w14:textId="722DB4D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24F06A9A" w14:textId="646DA87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363663B9" w14:textId="3986EFF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F9C7883" w14:textId="0B6D61B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0C81E4C" w14:textId="760ACAE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83F01E1" w14:textId="592CE6A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437FE63" w14:textId="3EBA6AB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503A328F" w14:textId="77777777" w:rsidTr="00852DF1">
        <w:tc>
          <w:tcPr>
            <w:tcW w:w="3397" w:type="dxa"/>
            <w:vAlign w:val="bottom"/>
          </w:tcPr>
          <w:p w14:paraId="09576A03" w14:textId="1EF5C80D"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Souglis</w:t>
            </w:r>
            <w:proofErr w:type="spellEnd"/>
            <w:r w:rsidRPr="00442146">
              <w:rPr>
                <w:rFonts w:ascii="Times New Roman" w:eastAsia="等线" w:hAnsi="Times New Roman" w:cs="Times New Roman"/>
                <w:color w:val="000000"/>
                <w:sz w:val="24"/>
                <w:szCs w:val="24"/>
              </w:rPr>
              <w:t xml:space="preserve"> et al. (2015)</w:t>
            </w:r>
          </w:p>
        </w:tc>
        <w:tc>
          <w:tcPr>
            <w:tcW w:w="707" w:type="dxa"/>
            <w:shd w:val="clear" w:color="auto" w:fill="8DD873" w:themeFill="accent6" w:themeFillTint="99"/>
            <w:vAlign w:val="center"/>
          </w:tcPr>
          <w:p w14:paraId="798A9F46" w14:textId="0DF9C22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560D3B60" w14:textId="2C4A338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54ABC5A3" w14:textId="7C67040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CC9F067" w14:textId="1236B0F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A1898BA" w14:textId="004D56D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CA7F455" w14:textId="4E77880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25535C6" w14:textId="549BDF9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9FCBF0D" w14:textId="3710A89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4D2F4504" w14:textId="77777777" w:rsidTr="00852DF1">
        <w:tc>
          <w:tcPr>
            <w:tcW w:w="3397" w:type="dxa"/>
            <w:vAlign w:val="bottom"/>
          </w:tcPr>
          <w:p w14:paraId="63B273CF" w14:textId="56086487"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Chamera</w:t>
            </w:r>
            <w:proofErr w:type="spellEnd"/>
            <w:r w:rsidRPr="00442146">
              <w:rPr>
                <w:rFonts w:ascii="Times New Roman" w:eastAsia="等线" w:hAnsi="Times New Roman" w:cs="Times New Roman"/>
                <w:color w:val="000000"/>
                <w:sz w:val="24"/>
                <w:szCs w:val="24"/>
              </w:rPr>
              <w:t xml:space="preserve"> et al. (2015)</w:t>
            </w:r>
          </w:p>
        </w:tc>
        <w:tc>
          <w:tcPr>
            <w:tcW w:w="707" w:type="dxa"/>
            <w:shd w:val="clear" w:color="auto" w:fill="8DD873" w:themeFill="accent6" w:themeFillTint="99"/>
            <w:vAlign w:val="center"/>
          </w:tcPr>
          <w:p w14:paraId="5011C090" w14:textId="484F317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54153186" w14:textId="6699C69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4C19BA05" w14:textId="760C386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12023194" w14:textId="5299DB9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934B37C" w14:textId="78ACC2D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5D68924" w14:textId="217EE94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25815E6" w14:textId="3DD563D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84D0114" w14:textId="4A29693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3B540CE0" w14:textId="77777777" w:rsidTr="00852DF1">
        <w:tc>
          <w:tcPr>
            <w:tcW w:w="3397" w:type="dxa"/>
            <w:vAlign w:val="bottom"/>
          </w:tcPr>
          <w:p w14:paraId="297781BF" w14:textId="1B0565AA"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Kostrzewa-Nowak et al. (2015)</w:t>
            </w:r>
          </w:p>
        </w:tc>
        <w:tc>
          <w:tcPr>
            <w:tcW w:w="707" w:type="dxa"/>
            <w:shd w:val="clear" w:color="auto" w:fill="8DD873" w:themeFill="accent6" w:themeFillTint="99"/>
            <w:vAlign w:val="center"/>
          </w:tcPr>
          <w:p w14:paraId="68B94750" w14:textId="44EC98D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26F1BA7B" w14:textId="4E87221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228BC22C" w14:textId="7DD006B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6A4E261" w14:textId="750DAE3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E8D9F9E" w14:textId="54EC2CF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A315E51" w14:textId="63AD97F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2FC352C" w14:textId="7786EE3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090BA9E" w14:textId="0A03712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544AEDFF" w14:textId="77777777" w:rsidTr="00852DF1">
        <w:tc>
          <w:tcPr>
            <w:tcW w:w="3397" w:type="dxa"/>
            <w:vAlign w:val="bottom"/>
          </w:tcPr>
          <w:p w14:paraId="227EC02C" w14:textId="3919DD56"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Dent et al. (2015)</w:t>
            </w:r>
          </w:p>
        </w:tc>
        <w:tc>
          <w:tcPr>
            <w:tcW w:w="707" w:type="dxa"/>
            <w:shd w:val="clear" w:color="auto" w:fill="8DD873" w:themeFill="accent6" w:themeFillTint="99"/>
            <w:vAlign w:val="center"/>
          </w:tcPr>
          <w:p w14:paraId="739F26CE" w14:textId="47E0D17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3BA0B056" w14:textId="6C95D13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1E99A4B1" w14:textId="444F139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74FDECA" w14:textId="67E2824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E229F9C" w14:textId="22E8E70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151EE4D" w14:textId="4C3A53D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F2FD684" w14:textId="6C571D5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94557EC" w14:textId="66DF907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CE95240" w14:textId="77777777" w:rsidTr="00852DF1">
        <w:tc>
          <w:tcPr>
            <w:tcW w:w="3397" w:type="dxa"/>
            <w:vAlign w:val="bottom"/>
          </w:tcPr>
          <w:p w14:paraId="599933BD" w14:textId="304CF706"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Sanders et al. (2017)</w:t>
            </w:r>
          </w:p>
        </w:tc>
        <w:tc>
          <w:tcPr>
            <w:tcW w:w="707" w:type="dxa"/>
            <w:shd w:val="clear" w:color="auto" w:fill="8DD873" w:themeFill="accent6" w:themeFillTint="99"/>
            <w:vAlign w:val="center"/>
          </w:tcPr>
          <w:p w14:paraId="6562CD46" w14:textId="518F426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1A69DAB0" w14:textId="24FD073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69F746C2" w14:textId="04A7997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4E6282DA" w14:textId="7DC3B01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442C122" w14:textId="03E01FB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FF80A51" w14:textId="757DF69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9B0C4E0" w14:textId="13889F9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D7DC487" w14:textId="1C79157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20C339AE" w14:textId="77777777" w:rsidTr="00852DF1">
        <w:tc>
          <w:tcPr>
            <w:tcW w:w="3397" w:type="dxa"/>
            <w:vAlign w:val="bottom"/>
          </w:tcPr>
          <w:p w14:paraId="3E05279C" w14:textId="13AD5F4C"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Souglis</w:t>
            </w:r>
            <w:proofErr w:type="spellEnd"/>
            <w:r w:rsidRPr="00442146">
              <w:rPr>
                <w:rFonts w:ascii="Times New Roman" w:eastAsia="等线" w:hAnsi="Times New Roman" w:cs="Times New Roman"/>
                <w:color w:val="000000"/>
                <w:sz w:val="24"/>
                <w:szCs w:val="24"/>
              </w:rPr>
              <w:t xml:space="preserve"> et al. (2018)</w:t>
            </w:r>
          </w:p>
        </w:tc>
        <w:tc>
          <w:tcPr>
            <w:tcW w:w="707" w:type="dxa"/>
            <w:shd w:val="clear" w:color="auto" w:fill="8DD873" w:themeFill="accent6" w:themeFillTint="99"/>
            <w:vAlign w:val="center"/>
          </w:tcPr>
          <w:p w14:paraId="66CD54A6" w14:textId="6139A48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6E35615C" w14:textId="3007F96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10E4E655" w14:textId="0C47023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8651189" w14:textId="34689CE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85E99A0" w14:textId="62A79A9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0385556" w14:textId="302910A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C2E7F4A" w14:textId="4D9A0DF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ED5F274" w14:textId="5CB021C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348154A" w14:textId="77777777" w:rsidTr="00852DF1">
        <w:tc>
          <w:tcPr>
            <w:tcW w:w="3397" w:type="dxa"/>
            <w:vAlign w:val="bottom"/>
          </w:tcPr>
          <w:p w14:paraId="7C8881FA" w14:textId="7D2DB056"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Sansonio</w:t>
            </w:r>
            <w:proofErr w:type="spellEnd"/>
            <w:r w:rsidRPr="00442146">
              <w:rPr>
                <w:rFonts w:ascii="Times New Roman" w:eastAsia="等线" w:hAnsi="Times New Roman" w:cs="Times New Roman"/>
                <w:color w:val="000000"/>
                <w:sz w:val="24"/>
                <w:szCs w:val="24"/>
              </w:rPr>
              <w:t xml:space="preserve"> de Morais et al. (2018)</w:t>
            </w:r>
          </w:p>
        </w:tc>
        <w:tc>
          <w:tcPr>
            <w:tcW w:w="707" w:type="dxa"/>
            <w:shd w:val="clear" w:color="auto" w:fill="8DD873" w:themeFill="accent6" w:themeFillTint="99"/>
            <w:vAlign w:val="center"/>
          </w:tcPr>
          <w:p w14:paraId="1BEF55C0" w14:textId="1EA9A99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7B95907" w14:textId="4EB3399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2C9936D0" w14:textId="6077745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CD8982A" w14:textId="6D76677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C524B7C" w14:textId="66965FE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C26D826" w14:textId="05859D8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93EE645" w14:textId="154E60A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D14D54F" w14:textId="5057F83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0FC9EA66" w14:textId="77777777" w:rsidTr="00852DF1">
        <w:tc>
          <w:tcPr>
            <w:tcW w:w="3397" w:type="dxa"/>
            <w:vAlign w:val="bottom"/>
          </w:tcPr>
          <w:p w14:paraId="4F656656" w14:textId="5CD2C941"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Mascherini</w:t>
            </w:r>
            <w:proofErr w:type="spellEnd"/>
            <w:r w:rsidRPr="00442146">
              <w:rPr>
                <w:rFonts w:ascii="Times New Roman" w:eastAsia="等线" w:hAnsi="Times New Roman" w:cs="Times New Roman"/>
                <w:color w:val="000000"/>
                <w:sz w:val="24"/>
                <w:szCs w:val="24"/>
              </w:rPr>
              <w:t xml:space="preserve"> et al. (2018)</w:t>
            </w:r>
          </w:p>
        </w:tc>
        <w:tc>
          <w:tcPr>
            <w:tcW w:w="707" w:type="dxa"/>
            <w:shd w:val="clear" w:color="auto" w:fill="8DD873" w:themeFill="accent6" w:themeFillTint="99"/>
            <w:vAlign w:val="center"/>
          </w:tcPr>
          <w:p w14:paraId="0013E2C3" w14:textId="15CA6E5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15EF0D70" w14:textId="53D216C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EE336D1" w14:textId="3936AF9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DBAA8BE" w14:textId="07C4AA1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CE846E0" w14:textId="5684AED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5F3DC70" w14:textId="6A6DB54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75C7F17" w14:textId="3ABDA19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2847D5B" w14:textId="1646E70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5EAB0772" w14:textId="77777777" w:rsidTr="00852DF1">
        <w:tc>
          <w:tcPr>
            <w:tcW w:w="3397" w:type="dxa"/>
            <w:vAlign w:val="bottom"/>
          </w:tcPr>
          <w:p w14:paraId="5031F277" w14:textId="1D7F9FC0"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Magal et al. (2020)</w:t>
            </w:r>
          </w:p>
        </w:tc>
        <w:tc>
          <w:tcPr>
            <w:tcW w:w="707" w:type="dxa"/>
            <w:shd w:val="clear" w:color="auto" w:fill="8DD873" w:themeFill="accent6" w:themeFillTint="99"/>
            <w:vAlign w:val="center"/>
          </w:tcPr>
          <w:p w14:paraId="272FADE7" w14:textId="22DAB48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6B2F3542" w14:textId="6B9BB00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0D1B039D" w14:textId="53FF7BE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60666165" w14:textId="7862DC2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2B344D8" w14:textId="602B839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264F48D" w14:textId="7D0C991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6069625" w14:textId="3346172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5BAE9E0" w14:textId="35C9EC4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7D9ADF3" w14:textId="77777777" w:rsidTr="00852DF1">
        <w:tc>
          <w:tcPr>
            <w:tcW w:w="3397" w:type="dxa"/>
            <w:vAlign w:val="bottom"/>
          </w:tcPr>
          <w:p w14:paraId="62498EC8" w14:textId="44205A1F"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Rodas et al. (2022)</w:t>
            </w:r>
          </w:p>
        </w:tc>
        <w:tc>
          <w:tcPr>
            <w:tcW w:w="707" w:type="dxa"/>
            <w:shd w:val="clear" w:color="auto" w:fill="8DD873" w:themeFill="accent6" w:themeFillTint="99"/>
            <w:vAlign w:val="center"/>
          </w:tcPr>
          <w:p w14:paraId="3AF77DDA" w14:textId="5232AB5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3A3DCF3" w14:textId="3C2E3F3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0603E6F" w14:textId="73BF994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0000"/>
            <w:vAlign w:val="center"/>
          </w:tcPr>
          <w:p w14:paraId="0747C7DF" w14:textId="5416B1A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8DD873" w:themeFill="accent6" w:themeFillTint="99"/>
            <w:vAlign w:val="center"/>
          </w:tcPr>
          <w:p w14:paraId="67CB7B8B" w14:textId="7FBFE9A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44F814C" w14:textId="70DD387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0000"/>
            <w:vAlign w:val="center"/>
          </w:tcPr>
          <w:p w14:paraId="791FE3D3" w14:textId="25F6AF9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8DD873" w:themeFill="accent6" w:themeFillTint="99"/>
            <w:vAlign w:val="center"/>
          </w:tcPr>
          <w:p w14:paraId="5773FDBA" w14:textId="1396F22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28D8F1A2" w14:textId="77777777" w:rsidTr="00852DF1">
        <w:tc>
          <w:tcPr>
            <w:tcW w:w="3397" w:type="dxa"/>
            <w:vAlign w:val="bottom"/>
          </w:tcPr>
          <w:p w14:paraId="14F313E7" w14:textId="282E3B25"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McFadden et al. (2024)</w:t>
            </w:r>
          </w:p>
        </w:tc>
        <w:tc>
          <w:tcPr>
            <w:tcW w:w="707" w:type="dxa"/>
            <w:shd w:val="clear" w:color="auto" w:fill="8DD873" w:themeFill="accent6" w:themeFillTint="99"/>
            <w:vAlign w:val="center"/>
          </w:tcPr>
          <w:p w14:paraId="4C4F497A" w14:textId="108CD9C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18C2AEE1" w14:textId="58D37B2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7FBBB43E" w14:textId="4AD9624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EFEABCD" w14:textId="72ECD8C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B11CC49" w14:textId="18F945D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4D6ED2E" w14:textId="34495DB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455BD79" w14:textId="2494434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852BAE6" w14:textId="14ABDB1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32862FF6" w14:textId="77777777" w:rsidTr="00852DF1">
        <w:tc>
          <w:tcPr>
            <w:tcW w:w="3397" w:type="dxa"/>
            <w:vAlign w:val="bottom"/>
          </w:tcPr>
          <w:p w14:paraId="25BA92CB" w14:textId="109FB2CA"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Mujika et al. (2009)</w:t>
            </w:r>
          </w:p>
        </w:tc>
        <w:tc>
          <w:tcPr>
            <w:tcW w:w="707" w:type="dxa"/>
            <w:shd w:val="clear" w:color="auto" w:fill="8DD873" w:themeFill="accent6" w:themeFillTint="99"/>
            <w:vAlign w:val="center"/>
          </w:tcPr>
          <w:p w14:paraId="019E3F68" w14:textId="040750A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2EF31B1A" w14:textId="2F0E484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3F636F44" w14:textId="10C5ADE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4B0593B" w14:textId="457EC1A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C5C2691" w14:textId="61EDB73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640655C" w14:textId="743ADB7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F7D6EB5" w14:textId="4999950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A0D125D" w14:textId="4A413DC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3AA2F88A" w14:textId="77777777" w:rsidTr="00852DF1">
        <w:tc>
          <w:tcPr>
            <w:tcW w:w="3397" w:type="dxa"/>
            <w:vAlign w:val="bottom"/>
          </w:tcPr>
          <w:p w14:paraId="60EAB05B" w14:textId="599AB9A3"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Baumgart et al. (2014)</w:t>
            </w:r>
          </w:p>
        </w:tc>
        <w:tc>
          <w:tcPr>
            <w:tcW w:w="707" w:type="dxa"/>
            <w:shd w:val="clear" w:color="auto" w:fill="FF0000"/>
            <w:vAlign w:val="center"/>
          </w:tcPr>
          <w:p w14:paraId="267C718C" w14:textId="372E7C6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FFFF00"/>
            <w:vAlign w:val="center"/>
          </w:tcPr>
          <w:p w14:paraId="0F1CBD36" w14:textId="4FB1BCF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5C9380AE" w14:textId="0F981BF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1BC78AB" w14:textId="01EE6C9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66DE959" w14:textId="2F05C0C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19DE222" w14:textId="504EBDC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0F91449" w14:textId="3278F68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E8BF781" w14:textId="470CDA3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4DE1D8E1" w14:textId="77777777" w:rsidTr="00852DF1">
        <w:tc>
          <w:tcPr>
            <w:tcW w:w="3397" w:type="dxa"/>
            <w:vAlign w:val="bottom"/>
          </w:tcPr>
          <w:p w14:paraId="19259675" w14:textId="1FD07C48"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Suchomel et al. (2015)</w:t>
            </w:r>
          </w:p>
        </w:tc>
        <w:tc>
          <w:tcPr>
            <w:tcW w:w="707" w:type="dxa"/>
            <w:shd w:val="clear" w:color="auto" w:fill="8DD873" w:themeFill="accent6" w:themeFillTint="99"/>
            <w:vAlign w:val="center"/>
          </w:tcPr>
          <w:p w14:paraId="5209D58D" w14:textId="7891DC4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5E527443" w14:textId="0B39638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1C4319B7" w14:textId="62E4A44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553E401F" w14:textId="210CF0F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02EB968" w14:textId="11F10BF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B8BA3F3" w14:textId="058AB6F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71D5A99" w14:textId="00439EB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C2977B3" w14:textId="4D97A73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1DC6D686" w14:textId="77777777" w:rsidTr="00852DF1">
        <w:tc>
          <w:tcPr>
            <w:tcW w:w="3397" w:type="dxa"/>
            <w:vAlign w:val="bottom"/>
          </w:tcPr>
          <w:p w14:paraId="6C4A1B2F" w14:textId="1C3C965F"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McFarland et al. (2016)</w:t>
            </w:r>
          </w:p>
        </w:tc>
        <w:tc>
          <w:tcPr>
            <w:tcW w:w="707" w:type="dxa"/>
            <w:shd w:val="clear" w:color="auto" w:fill="8DD873" w:themeFill="accent6" w:themeFillTint="99"/>
            <w:vAlign w:val="center"/>
          </w:tcPr>
          <w:p w14:paraId="7201C60B" w14:textId="1D6F194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9178A75" w14:textId="10C6A55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27278B17" w14:textId="4DE585E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330FAA01" w14:textId="7920992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AF9A820" w14:textId="672478D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6B3C391" w14:textId="0F30064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96279E7" w14:textId="2DAB021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1EB5FCB" w14:textId="66FD5F7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6DCCD03C" w14:textId="77777777" w:rsidTr="00852DF1">
        <w:tc>
          <w:tcPr>
            <w:tcW w:w="3397" w:type="dxa"/>
            <w:vAlign w:val="bottom"/>
          </w:tcPr>
          <w:p w14:paraId="70209C1B" w14:textId="5B618789"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Suchomel et al. (2016)</w:t>
            </w:r>
          </w:p>
        </w:tc>
        <w:tc>
          <w:tcPr>
            <w:tcW w:w="707" w:type="dxa"/>
            <w:shd w:val="clear" w:color="auto" w:fill="8DD873" w:themeFill="accent6" w:themeFillTint="99"/>
            <w:vAlign w:val="center"/>
          </w:tcPr>
          <w:p w14:paraId="2E11B850" w14:textId="7A06CD1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78D89C51" w14:textId="4D63B85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28F1C5AA" w14:textId="54C50D6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5E38D682" w14:textId="50B1C86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58A2B91" w14:textId="75D9C30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0B63A8E" w14:textId="6E847CF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9F15478" w14:textId="1C6909B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A42553D" w14:textId="281E7D2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3331296D" w14:textId="77777777" w:rsidTr="00852DF1">
        <w:tc>
          <w:tcPr>
            <w:tcW w:w="3397" w:type="dxa"/>
            <w:vAlign w:val="bottom"/>
          </w:tcPr>
          <w:p w14:paraId="655D8E26" w14:textId="4799887B"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Condello et al. (2016)</w:t>
            </w:r>
          </w:p>
        </w:tc>
        <w:tc>
          <w:tcPr>
            <w:tcW w:w="707" w:type="dxa"/>
            <w:shd w:val="clear" w:color="auto" w:fill="8DD873" w:themeFill="accent6" w:themeFillTint="99"/>
            <w:vAlign w:val="center"/>
          </w:tcPr>
          <w:p w14:paraId="5123277D" w14:textId="63954C3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CAEBE86" w14:textId="5A4270E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66D00BE5" w14:textId="03507F1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56653BA3" w14:textId="44D46B8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4ADC831" w14:textId="1C941C4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9E5A977" w14:textId="402E3F0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AA2ED69" w14:textId="12E9158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77A8AF1" w14:textId="5140EB5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79DCC06A" w14:textId="77777777" w:rsidTr="00852DF1">
        <w:tc>
          <w:tcPr>
            <w:tcW w:w="3397" w:type="dxa"/>
            <w:vAlign w:val="bottom"/>
          </w:tcPr>
          <w:p w14:paraId="000F0767" w14:textId="6815BE3B"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Nagano et al. (2016)</w:t>
            </w:r>
          </w:p>
        </w:tc>
        <w:tc>
          <w:tcPr>
            <w:tcW w:w="707" w:type="dxa"/>
            <w:shd w:val="clear" w:color="auto" w:fill="8DD873" w:themeFill="accent6" w:themeFillTint="99"/>
            <w:vAlign w:val="center"/>
          </w:tcPr>
          <w:p w14:paraId="5B9BB4DC" w14:textId="460E432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7F764FD5" w14:textId="35CEF564"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78E1AC24" w14:textId="6BDD5815"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0495D466" w14:textId="1753114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301EF27" w14:textId="165BB13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C405114" w14:textId="5F415C9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A736906" w14:textId="09B503A6"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890E638" w14:textId="0D35929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50CAF6F2" w14:textId="77777777" w:rsidTr="00852DF1">
        <w:tc>
          <w:tcPr>
            <w:tcW w:w="3397" w:type="dxa"/>
            <w:vAlign w:val="bottom"/>
          </w:tcPr>
          <w:p w14:paraId="24CEAD0D" w14:textId="252FDEB0"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Cardoso de Araujo et al. (2018)</w:t>
            </w:r>
          </w:p>
        </w:tc>
        <w:tc>
          <w:tcPr>
            <w:tcW w:w="707" w:type="dxa"/>
            <w:shd w:val="clear" w:color="auto" w:fill="FF0000"/>
            <w:vAlign w:val="center"/>
          </w:tcPr>
          <w:p w14:paraId="27D1A005" w14:textId="1884383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FFFF00"/>
            <w:vAlign w:val="center"/>
          </w:tcPr>
          <w:p w14:paraId="2FF4A08E" w14:textId="543D7C5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56C03F07" w14:textId="78BF215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283EC869" w14:textId="70C897A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B9B27F5" w14:textId="4BC47FF0"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A58A43D" w14:textId="09B82F4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0000"/>
            <w:vAlign w:val="center"/>
          </w:tcPr>
          <w:p w14:paraId="15A1A7E2" w14:textId="1B9CD34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8DD873" w:themeFill="accent6" w:themeFillTint="99"/>
            <w:vAlign w:val="center"/>
          </w:tcPr>
          <w:p w14:paraId="75B235E8" w14:textId="34DB7DC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0AAF97FC" w14:textId="77777777" w:rsidTr="00852DF1">
        <w:tc>
          <w:tcPr>
            <w:tcW w:w="3397" w:type="dxa"/>
            <w:vAlign w:val="bottom"/>
          </w:tcPr>
          <w:p w14:paraId="157090E3" w14:textId="387EC614"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Baumgart et al. (2018)</w:t>
            </w:r>
          </w:p>
        </w:tc>
        <w:tc>
          <w:tcPr>
            <w:tcW w:w="707" w:type="dxa"/>
            <w:shd w:val="clear" w:color="auto" w:fill="8DD873" w:themeFill="accent6" w:themeFillTint="99"/>
            <w:vAlign w:val="center"/>
          </w:tcPr>
          <w:p w14:paraId="1A730851" w14:textId="46CB71F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A12D993" w14:textId="63713AF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5031C78D" w14:textId="7099853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20C13C53" w14:textId="350D4FF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3033F64C" w14:textId="67CA033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47C99A6" w14:textId="78E99133"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B1F5F8D" w14:textId="0DF5015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0DA193CB" w14:textId="5C198339"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04B14391" w14:textId="77777777" w:rsidTr="00FB4BB2">
        <w:tc>
          <w:tcPr>
            <w:tcW w:w="3397" w:type="dxa"/>
            <w:vAlign w:val="bottom"/>
          </w:tcPr>
          <w:p w14:paraId="0D664BBB" w14:textId="7281B352" w:rsidR="003C2F46" w:rsidRPr="00442146" w:rsidRDefault="003C2F46" w:rsidP="003C2F46">
            <w:pPr>
              <w:rPr>
                <w:rFonts w:ascii="Times New Roman" w:hAnsi="Times New Roman" w:cs="Times New Roman"/>
                <w:sz w:val="24"/>
                <w:szCs w:val="24"/>
              </w:rPr>
            </w:pPr>
            <w:r w:rsidRPr="00442146">
              <w:rPr>
                <w:rFonts w:ascii="Times New Roman" w:eastAsia="等线" w:hAnsi="Times New Roman" w:cs="Times New Roman"/>
                <w:color w:val="000000"/>
                <w:sz w:val="24"/>
                <w:szCs w:val="24"/>
              </w:rPr>
              <w:t>Cardoso de Araujo et al. (2019)</w:t>
            </w:r>
          </w:p>
        </w:tc>
        <w:tc>
          <w:tcPr>
            <w:tcW w:w="707" w:type="dxa"/>
            <w:shd w:val="clear" w:color="auto" w:fill="FF0000"/>
            <w:vAlign w:val="center"/>
          </w:tcPr>
          <w:p w14:paraId="28740CB7" w14:textId="0124DF8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H</w:t>
            </w:r>
          </w:p>
        </w:tc>
        <w:tc>
          <w:tcPr>
            <w:tcW w:w="708" w:type="dxa"/>
            <w:shd w:val="clear" w:color="auto" w:fill="FFFF00"/>
            <w:vAlign w:val="center"/>
          </w:tcPr>
          <w:p w14:paraId="0718A2C6" w14:textId="71D4CF0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572934AF" w14:textId="0E72178C"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2D70499" w14:textId="32E10C98"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6DD8586A" w14:textId="4D04DF2A"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1FC4DDDC" w14:textId="3C018CDB"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5E80046E" w14:textId="78435EB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036E30C" w14:textId="67BB7B9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442146" w14:paraId="3DD57D60" w14:textId="77777777" w:rsidTr="00852DF1">
        <w:tc>
          <w:tcPr>
            <w:tcW w:w="3397" w:type="dxa"/>
            <w:vAlign w:val="bottom"/>
          </w:tcPr>
          <w:p w14:paraId="1F79BD10" w14:textId="74C94A9F" w:rsidR="003C2F46" w:rsidRPr="00442146" w:rsidRDefault="003C2F46" w:rsidP="003C2F46">
            <w:pPr>
              <w:rPr>
                <w:rFonts w:ascii="Times New Roman" w:hAnsi="Times New Roman" w:cs="Times New Roman"/>
                <w:sz w:val="24"/>
                <w:szCs w:val="24"/>
              </w:rPr>
            </w:pPr>
            <w:proofErr w:type="spellStart"/>
            <w:r w:rsidRPr="00442146">
              <w:rPr>
                <w:rFonts w:ascii="Times New Roman" w:eastAsia="等线" w:hAnsi="Times New Roman" w:cs="Times New Roman"/>
                <w:color w:val="000000"/>
                <w:sz w:val="24"/>
                <w:szCs w:val="24"/>
              </w:rPr>
              <w:t>Devismes</w:t>
            </w:r>
            <w:proofErr w:type="spellEnd"/>
            <w:r w:rsidRPr="00442146">
              <w:rPr>
                <w:rFonts w:ascii="Times New Roman" w:eastAsia="等线" w:hAnsi="Times New Roman" w:cs="Times New Roman"/>
                <w:color w:val="000000"/>
                <w:sz w:val="24"/>
                <w:szCs w:val="24"/>
              </w:rPr>
              <w:t xml:space="preserve"> et al. (2019)</w:t>
            </w:r>
          </w:p>
        </w:tc>
        <w:tc>
          <w:tcPr>
            <w:tcW w:w="707" w:type="dxa"/>
            <w:shd w:val="clear" w:color="auto" w:fill="8DD873" w:themeFill="accent6" w:themeFillTint="99"/>
            <w:vAlign w:val="center"/>
          </w:tcPr>
          <w:p w14:paraId="1C56C8CF" w14:textId="0395BD4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FFFF00"/>
            <w:vAlign w:val="center"/>
          </w:tcPr>
          <w:p w14:paraId="4862774E" w14:textId="489C13FD"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FFFF00"/>
            <w:vAlign w:val="center"/>
          </w:tcPr>
          <w:p w14:paraId="0487B778" w14:textId="7109E34E"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U</w:t>
            </w:r>
          </w:p>
        </w:tc>
        <w:tc>
          <w:tcPr>
            <w:tcW w:w="708" w:type="dxa"/>
            <w:shd w:val="clear" w:color="auto" w:fill="8DD873" w:themeFill="accent6" w:themeFillTint="99"/>
            <w:vAlign w:val="center"/>
          </w:tcPr>
          <w:p w14:paraId="659618AF" w14:textId="05632407"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A3DE437" w14:textId="4198B9C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4368E85F" w14:textId="782AF101"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2AA76EE9" w14:textId="3D4049DF"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c>
          <w:tcPr>
            <w:tcW w:w="708" w:type="dxa"/>
            <w:shd w:val="clear" w:color="auto" w:fill="8DD873" w:themeFill="accent6" w:themeFillTint="99"/>
            <w:vAlign w:val="center"/>
          </w:tcPr>
          <w:p w14:paraId="7456B7C9" w14:textId="5D13A622" w:rsidR="003C2F46" w:rsidRPr="00442146" w:rsidRDefault="003C2F46" w:rsidP="00394F9E">
            <w:pPr>
              <w:jc w:val="center"/>
              <w:rPr>
                <w:rFonts w:ascii="Times New Roman" w:hAnsi="Times New Roman" w:cs="Times New Roman"/>
                <w:sz w:val="24"/>
                <w:szCs w:val="24"/>
              </w:rPr>
            </w:pPr>
            <w:r w:rsidRPr="00442146">
              <w:rPr>
                <w:rFonts w:ascii="Times New Roman" w:hAnsi="Times New Roman" w:cs="Times New Roman"/>
                <w:sz w:val="24"/>
                <w:szCs w:val="24"/>
              </w:rPr>
              <w:t>L</w:t>
            </w:r>
          </w:p>
        </w:tc>
      </w:tr>
      <w:tr w:rsidR="003C2F46" w:rsidRPr="00A00B11" w14:paraId="1D5B7529" w14:textId="77777777" w:rsidTr="00852DF1">
        <w:tc>
          <w:tcPr>
            <w:tcW w:w="3397" w:type="dxa"/>
            <w:vAlign w:val="bottom"/>
          </w:tcPr>
          <w:p w14:paraId="4237A052" w14:textId="69409D16"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Dolci et al. (2021)</w:t>
            </w:r>
          </w:p>
        </w:tc>
        <w:tc>
          <w:tcPr>
            <w:tcW w:w="707" w:type="dxa"/>
            <w:shd w:val="clear" w:color="auto" w:fill="8DD873" w:themeFill="accent6" w:themeFillTint="99"/>
            <w:vAlign w:val="center"/>
          </w:tcPr>
          <w:p w14:paraId="6B0E3876" w14:textId="0D91262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1B98FC6F" w14:textId="76564BE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5718E1A6" w14:textId="29FBB7D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0958767" w14:textId="6CC8F86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3785C0D" w14:textId="248FD26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B702C46" w14:textId="23FE84E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95F5333" w14:textId="43E1FFB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9076FDF" w14:textId="62725D2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66C991B3" w14:textId="77777777" w:rsidTr="00FB4BB2">
        <w:tc>
          <w:tcPr>
            <w:tcW w:w="3397" w:type="dxa"/>
            <w:vAlign w:val="bottom"/>
          </w:tcPr>
          <w:p w14:paraId="58AA73BE" w14:textId="6ED74169"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Makaraci</w:t>
            </w:r>
            <w:proofErr w:type="spellEnd"/>
            <w:r w:rsidRPr="00A00B11">
              <w:rPr>
                <w:rFonts w:ascii="Times New Roman" w:eastAsia="等线" w:hAnsi="Times New Roman" w:cs="Times New Roman"/>
                <w:color w:val="000000"/>
                <w:sz w:val="24"/>
                <w:szCs w:val="24"/>
              </w:rPr>
              <w:t xml:space="preserve"> et al. (2024)</w:t>
            </w:r>
          </w:p>
        </w:tc>
        <w:tc>
          <w:tcPr>
            <w:tcW w:w="707" w:type="dxa"/>
            <w:shd w:val="clear" w:color="auto" w:fill="8DD873" w:themeFill="accent6" w:themeFillTint="99"/>
            <w:vAlign w:val="center"/>
          </w:tcPr>
          <w:p w14:paraId="1E2735AA" w14:textId="408775E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614274FA" w14:textId="210FE61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4D8E79D4" w14:textId="0341641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DE4A024" w14:textId="37B35ED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6E07505" w14:textId="6A6CCE0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BF6290B" w14:textId="1BA37EA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D9157F2" w14:textId="732FB48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BE7CDA8" w14:textId="627DDB5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FB4BB2" w:rsidRPr="00A00B11" w14:paraId="2151A588" w14:textId="77777777" w:rsidTr="00AD6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single" w:sz="12" w:space="0" w:color="auto"/>
              <w:right w:val="nil"/>
            </w:tcBorders>
          </w:tcPr>
          <w:p w14:paraId="69338DDD" w14:textId="77777777" w:rsidR="00FB4BB2" w:rsidRPr="00A00B11" w:rsidRDefault="00FB4BB2" w:rsidP="00EF3779">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Putukian</w:t>
            </w:r>
            <w:proofErr w:type="spellEnd"/>
            <w:r w:rsidRPr="00A00B11">
              <w:rPr>
                <w:rFonts w:ascii="Times New Roman" w:eastAsia="等线" w:hAnsi="Times New Roman" w:cs="Times New Roman"/>
                <w:color w:val="000000"/>
                <w:sz w:val="24"/>
                <w:szCs w:val="24"/>
              </w:rPr>
              <w:t xml:space="preserve"> et al. (2000)</w:t>
            </w:r>
          </w:p>
        </w:tc>
        <w:tc>
          <w:tcPr>
            <w:tcW w:w="707" w:type="dxa"/>
            <w:tcBorders>
              <w:top w:val="nil"/>
              <w:left w:val="nil"/>
              <w:bottom w:val="single" w:sz="12" w:space="0" w:color="auto"/>
              <w:right w:val="nil"/>
            </w:tcBorders>
            <w:shd w:val="clear" w:color="auto" w:fill="8DD873" w:themeFill="accent6" w:themeFillTint="99"/>
          </w:tcPr>
          <w:p w14:paraId="79D6419B"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nil"/>
              <w:left w:val="nil"/>
              <w:bottom w:val="single" w:sz="12" w:space="0" w:color="auto"/>
              <w:right w:val="nil"/>
            </w:tcBorders>
            <w:shd w:val="clear" w:color="auto" w:fill="FFFF00"/>
          </w:tcPr>
          <w:p w14:paraId="2B9FCDD9"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tcBorders>
              <w:top w:val="nil"/>
              <w:left w:val="nil"/>
              <w:bottom w:val="single" w:sz="12" w:space="0" w:color="auto"/>
              <w:right w:val="nil"/>
            </w:tcBorders>
            <w:shd w:val="clear" w:color="auto" w:fill="FFFF00"/>
          </w:tcPr>
          <w:p w14:paraId="2CA8BF19"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tcBorders>
              <w:top w:val="nil"/>
              <w:left w:val="nil"/>
              <w:bottom w:val="single" w:sz="12" w:space="0" w:color="auto"/>
              <w:right w:val="nil"/>
            </w:tcBorders>
            <w:shd w:val="clear" w:color="auto" w:fill="FFFF00"/>
          </w:tcPr>
          <w:p w14:paraId="60B7DD93"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nil"/>
              <w:left w:val="nil"/>
              <w:bottom w:val="single" w:sz="12" w:space="0" w:color="auto"/>
              <w:right w:val="nil"/>
            </w:tcBorders>
            <w:shd w:val="clear" w:color="auto" w:fill="FFFF00"/>
          </w:tcPr>
          <w:p w14:paraId="08BC32C9"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nil"/>
              <w:left w:val="nil"/>
              <w:bottom w:val="single" w:sz="12" w:space="0" w:color="auto"/>
              <w:right w:val="nil"/>
            </w:tcBorders>
            <w:shd w:val="clear" w:color="auto" w:fill="FFFF00"/>
          </w:tcPr>
          <w:p w14:paraId="36F50F74"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nil"/>
              <w:left w:val="nil"/>
              <w:bottom w:val="single" w:sz="12" w:space="0" w:color="auto"/>
              <w:right w:val="nil"/>
            </w:tcBorders>
            <w:shd w:val="clear" w:color="auto" w:fill="FF0000"/>
          </w:tcPr>
          <w:p w14:paraId="725EA516"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tcBorders>
              <w:top w:val="nil"/>
              <w:left w:val="nil"/>
              <w:bottom w:val="single" w:sz="12" w:space="0" w:color="auto"/>
              <w:right w:val="nil"/>
            </w:tcBorders>
            <w:shd w:val="clear" w:color="auto" w:fill="8DD873" w:themeFill="accent6" w:themeFillTint="99"/>
          </w:tcPr>
          <w:p w14:paraId="33F035ED" w14:textId="77777777" w:rsidR="00FB4BB2" w:rsidRPr="00A00B11" w:rsidRDefault="00FB4BB2" w:rsidP="00EF3779">
            <w:pPr>
              <w:jc w:val="center"/>
              <w:rPr>
                <w:rFonts w:ascii="Times New Roman" w:hAnsi="Times New Roman" w:cs="Times New Roman"/>
                <w:sz w:val="24"/>
                <w:szCs w:val="24"/>
              </w:rPr>
            </w:pPr>
            <w:r w:rsidRPr="00A00B11">
              <w:rPr>
                <w:rFonts w:ascii="Times New Roman" w:hAnsi="Times New Roman" w:cs="Times New Roman"/>
                <w:sz w:val="24"/>
                <w:szCs w:val="24"/>
              </w:rPr>
              <w:t>L</w:t>
            </w:r>
          </w:p>
        </w:tc>
      </w:tr>
    </w:tbl>
    <w:p w14:paraId="5E690E4D" w14:textId="52F5A462" w:rsidR="001F6296" w:rsidRDefault="00654D4A" w:rsidP="001F6296">
      <w:pPr>
        <w:rPr>
          <w:rFonts w:hint="eastAsia"/>
        </w:rPr>
      </w:pPr>
      <w:r>
        <w:rPr>
          <w:rFonts w:ascii="Arial" w:hAnsi="Arial" w:cs="Arial"/>
          <w:b/>
          <w:bCs/>
          <w:sz w:val="24"/>
          <w:szCs w:val="24"/>
        </w:rPr>
        <w:lastRenderedPageBreak/>
        <w:t>Table S</w:t>
      </w:r>
      <w:r w:rsidR="00D13D6C">
        <w:rPr>
          <w:rFonts w:ascii="Arial" w:hAnsi="Arial" w:cs="Arial" w:hint="eastAsia"/>
          <w:b/>
          <w:bCs/>
          <w:sz w:val="24"/>
          <w:szCs w:val="24"/>
        </w:rPr>
        <w:t>3</w:t>
      </w:r>
      <w:r w:rsidR="001F6296" w:rsidRPr="00442146">
        <w:rPr>
          <w:rFonts w:ascii="Times New Roman" w:hAnsi="Times New Roman" w:cs="Times New Roman"/>
          <w:sz w:val="24"/>
          <w:szCs w:val="24"/>
        </w:rPr>
        <w:t xml:space="preserve"> </w:t>
      </w:r>
      <w:r w:rsidR="00D13D6C">
        <w:rPr>
          <w:rFonts w:ascii="Times New Roman" w:hAnsi="Times New Roman" w:cs="Times New Roman" w:hint="eastAsia"/>
          <w:sz w:val="24"/>
          <w:szCs w:val="24"/>
        </w:rPr>
        <w:t>(</w:t>
      </w:r>
      <w:r w:rsidR="001F6296">
        <w:rPr>
          <w:rFonts w:ascii="Times New Roman" w:hAnsi="Times New Roman" w:cs="Times New Roman" w:hint="eastAsia"/>
          <w:sz w:val="24"/>
          <w:szCs w:val="24"/>
        </w:rPr>
        <w:t>C</w:t>
      </w:r>
      <w:r w:rsidR="001F6296" w:rsidRPr="00A62A84">
        <w:rPr>
          <w:rFonts w:ascii="Times New Roman" w:hAnsi="Times New Roman" w:cs="Times New Roman" w:hint="eastAsia"/>
          <w:sz w:val="24"/>
          <w:szCs w:val="24"/>
        </w:rPr>
        <w:t>ontinue</w:t>
      </w:r>
      <w:r w:rsidR="001F6296">
        <w:rPr>
          <w:rFonts w:ascii="Times New Roman" w:hAnsi="Times New Roman" w:cs="Times New Roman" w:hint="eastAsia"/>
          <w:sz w:val="24"/>
          <w:szCs w:val="24"/>
        </w:rPr>
        <w:t>d</w:t>
      </w:r>
      <w:r w:rsidR="00D13D6C">
        <w:rPr>
          <w:rFonts w:ascii="Times New Roman" w:hAnsi="Times New Roman" w:cs="Times New Roman" w:hint="eastAsia"/>
          <w:sz w:val="24"/>
          <w:szCs w:val="24"/>
        </w:rPr>
        <w:t>)</w:t>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707"/>
        <w:gridCol w:w="708"/>
        <w:gridCol w:w="708"/>
        <w:gridCol w:w="708"/>
        <w:gridCol w:w="708"/>
        <w:gridCol w:w="708"/>
        <w:gridCol w:w="708"/>
        <w:gridCol w:w="708"/>
      </w:tblGrid>
      <w:tr w:rsidR="001F6296" w:rsidRPr="00A00B11" w14:paraId="4581B239" w14:textId="77777777" w:rsidTr="00704228">
        <w:tc>
          <w:tcPr>
            <w:tcW w:w="3397" w:type="dxa"/>
            <w:tcBorders>
              <w:top w:val="single" w:sz="12" w:space="0" w:color="auto"/>
              <w:bottom w:val="single" w:sz="12" w:space="0" w:color="auto"/>
            </w:tcBorders>
            <w:vAlign w:val="center"/>
          </w:tcPr>
          <w:p w14:paraId="7F56923C"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Author (years)</w:t>
            </w:r>
          </w:p>
        </w:tc>
        <w:tc>
          <w:tcPr>
            <w:tcW w:w="707" w:type="dxa"/>
            <w:tcBorders>
              <w:top w:val="single" w:sz="12" w:space="0" w:color="auto"/>
              <w:bottom w:val="single" w:sz="12" w:space="0" w:color="auto"/>
            </w:tcBorders>
            <w:vAlign w:val="center"/>
          </w:tcPr>
          <w:p w14:paraId="37350813"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D1</w:t>
            </w:r>
          </w:p>
        </w:tc>
        <w:tc>
          <w:tcPr>
            <w:tcW w:w="708" w:type="dxa"/>
            <w:tcBorders>
              <w:top w:val="single" w:sz="12" w:space="0" w:color="auto"/>
              <w:bottom w:val="single" w:sz="12" w:space="0" w:color="auto"/>
            </w:tcBorders>
            <w:vAlign w:val="center"/>
          </w:tcPr>
          <w:p w14:paraId="0883998C"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D2</w:t>
            </w:r>
          </w:p>
        </w:tc>
        <w:tc>
          <w:tcPr>
            <w:tcW w:w="708" w:type="dxa"/>
            <w:tcBorders>
              <w:top w:val="single" w:sz="12" w:space="0" w:color="auto"/>
              <w:bottom w:val="single" w:sz="12" w:space="0" w:color="auto"/>
            </w:tcBorders>
            <w:vAlign w:val="center"/>
          </w:tcPr>
          <w:p w14:paraId="3BA63EC4"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D3</w:t>
            </w:r>
          </w:p>
        </w:tc>
        <w:tc>
          <w:tcPr>
            <w:tcW w:w="708" w:type="dxa"/>
            <w:tcBorders>
              <w:top w:val="single" w:sz="12" w:space="0" w:color="auto"/>
              <w:bottom w:val="single" w:sz="12" w:space="0" w:color="auto"/>
            </w:tcBorders>
            <w:vAlign w:val="center"/>
          </w:tcPr>
          <w:p w14:paraId="73C2B3CD"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D4</w:t>
            </w:r>
          </w:p>
        </w:tc>
        <w:tc>
          <w:tcPr>
            <w:tcW w:w="708" w:type="dxa"/>
            <w:tcBorders>
              <w:top w:val="single" w:sz="12" w:space="0" w:color="auto"/>
              <w:bottom w:val="single" w:sz="12" w:space="0" w:color="auto"/>
            </w:tcBorders>
            <w:vAlign w:val="center"/>
          </w:tcPr>
          <w:p w14:paraId="0F78AE12"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D5</w:t>
            </w:r>
          </w:p>
        </w:tc>
        <w:tc>
          <w:tcPr>
            <w:tcW w:w="708" w:type="dxa"/>
            <w:tcBorders>
              <w:top w:val="single" w:sz="12" w:space="0" w:color="auto"/>
              <w:bottom w:val="single" w:sz="12" w:space="0" w:color="auto"/>
            </w:tcBorders>
            <w:vAlign w:val="center"/>
          </w:tcPr>
          <w:p w14:paraId="23BA9FEA"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D6</w:t>
            </w:r>
          </w:p>
        </w:tc>
        <w:tc>
          <w:tcPr>
            <w:tcW w:w="708" w:type="dxa"/>
            <w:tcBorders>
              <w:top w:val="single" w:sz="12" w:space="0" w:color="auto"/>
              <w:bottom w:val="single" w:sz="12" w:space="0" w:color="auto"/>
            </w:tcBorders>
            <w:vAlign w:val="center"/>
          </w:tcPr>
          <w:p w14:paraId="49959066"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D7</w:t>
            </w:r>
          </w:p>
        </w:tc>
        <w:tc>
          <w:tcPr>
            <w:tcW w:w="708" w:type="dxa"/>
            <w:tcBorders>
              <w:top w:val="single" w:sz="12" w:space="0" w:color="auto"/>
              <w:bottom w:val="single" w:sz="12" w:space="0" w:color="auto"/>
            </w:tcBorders>
            <w:vAlign w:val="center"/>
          </w:tcPr>
          <w:p w14:paraId="09D18255" w14:textId="77777777" w:rsidR="001F6296" w:rsidRPr="00A00B11" w:rsidRDefault="001F6296" w:rsidP="00EF3779">
            <w:pPr>
              <w:jc w:val="center"/>
              <w:rPr>
                <w:rFonts w:ascii="Times New Roman" w:hAnsi="Times New Roman" w:cs="Times New Roman"/>
                <w:sz w:val="24"/>
                <w:szCs w:val="24"/>
              </w:rPr>
            </w:pPr>
            <w:r w:rsidRPr="00A00B11">
              <w:rPr>
                <w:rFonts w:ascii="Times New Roman" w:hAnsi="Times New Roman" w:cs="Times New Roman"/>
                <w:sz w:val="24"/>
                <w:szCs w:val="24"/>
              </w:rPr>
              <w:t>D8</w:t>
            </w:r>
          </w:p>
        </w:tc>
      </w:tr>
      <w:tr w:rsidR="003C2F46" w:rsidRPr="00A00B11" w14:paraId="3B043F85" w14:textId="77777777" w:rsidTr="00704228">
        <w:tc>
          <w:tcPr>
            <w:tcW w:w="3397" w:type="dxa"/>
            <w:tcBorders>
              <w:top w:val="single" w:sz="12" w:space="0" w:color="auto"/>
            </w:tcBorders>
            <w:vAlign w:val="bottom"/>
          </w:tcPr>
          <w:p w14:paraId="56BDA57F" w14:textId="287D2826"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Barfield et al. (2002)</w:t>
            </w:r>
          </w:p>
        </w:tc>
        <w:tc>
          <w:tcPr>
            <w:tcW w:w="707" w:type="dxa"/>
            <w:tcBorders>
              <w:top w:val="single" w:sz="12" w:space="0" w:color="auto"/>
            </w:tcBorders>
            <w:shd w:val="clear" w:color="auto" w:fill="8DD873" w:themeFill="accent6" w:themeFillTint="99"/>
            <w:vAlign w:val="center"/>
          </w:tcPr>
          <w:p w14:paraId="4482D779" w14:textId="050D9C2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single" w:sz="12" w:space="0" w:color="auto"/>
            </w:tcBorders>
            <w:shd w:val="clear" w:color="auto" w:fill="FFFF00"/>
            <w:vAlign w:val="center"/>
          </w:tcPr>
          <w:p w14:paraId="6A910ABB" w14:textId="3C39F53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tcBorders>
              <w:top w:val="single" w:sz="12" w:space="0" w:color="auto"/>
            </w:tcBorders>
            <w:shd w:val="clear" w:color="auto" w:fill="FFFF00"/>
            <w:vAlign w:val="center"/>
          </w:tcPr>
          <w:p w14:paraId="5955969A" w14:textId="46D46EF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tcBorders>
              <w:top w:val="single" w:sz="12" w:space="0" w:color="auto"/>
            </w:tcBorders>
            <w:shd w:val="clear" w:color="auto" w:fill="8DD873" w:themeFill="accent6" w:themeFillTint="99"/>
            <w:vAlign w:val="center"/>
          </w:tcPr>
          <w:p w14:paraId="437F76A6" w14:textId="52D282C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0BF79CF1" w14:textId="1F19E01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354C8CD6" w14:textId="5ECAD58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54C3CBED" w14:textId="5411FF5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top w:val="single" w:sz="12" w:space="0" w:color="auto"/>
            </w:tcBorders>
            <w:shd w:val="clear" w:color="auto" w:fill="8DD873" w:themeFill="accent6" w:themeFillTint="99"/>
            <w:vAlign w:val="center"/>
          </w:tcPr>
          <w:p w14:paraId="7673294C" w14:textId="6EF6881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34FF47DD" w14:textId="77777777" w:rsidTr="00704228">
        <w:tc>
          <w:tcPr>
            <w:tcW w:w="3397" w:type="dxa"/>
            <w:vAlign w:val="bottom"/>
          </w:tcPr>
          <w:p w14:paraId="2D05B559" w14:textId="6479FFC9"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Orloff et al. (2008)</w:t>
            </w:r>
          </w:p>
        </w:tc>
        <w:tc>
          <w:tcPr>
            <w:tcW w:w="707" w:type="dxa"/>
            <w:shd w:val="clear" w:color="auto" w:fill="8DD873" w:themeFill="accent6" w:themeFillTint="99"/>
            <w:vAlign w:val="center"/>
          </w:tcPr>
          <w:p w14:paraId="4F0ADD9D" w14:textId="72AB91A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6EE4B868" w14:textId="7DEF42E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57836EF5" w14:textId="536EA0A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68448C89" w14:textId="29A4B8C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8D05450" w14:textId="69490FD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B3F5428" w14:textId="0B7138A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78C6D3B" w14:textId="70938E1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1473D16" w14:textId="1342A7E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BA05126" w14:textId="77777777" w:rsidTr="00704228">
        <w:tc>
          <w:tcPr>
            <w:tcW w:w="3397" w:type="dxa"/>
            <w:vAlign w:val="bottom"/>
          </w:tcPr>
          <w:p w14:paraId="4074BF14" w14:textId="3756B4E3"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Gheidi</w:t>
            </w:r>
            <w:proofErr w:type="spellEnd"/>
            <w:r w:rsidRPr="00A00B11">
              <w:rPr>
                <w:rFonts w:ascii="Times New Roman" w:eastAsia="等线" w:hAnsi="Times New Roman" w:cs="Times New Roman"/>
                <w:color w:val="000000"/>
                <w:sz w:val="24"/>
                <w:szCs w:val="24"/>
              </w:rPr>
              <w:t xml:space="preserve"> et al. (2010)</w:t>
            </w:r>
          </w:p>
        </w:tc>
        <w:tc>
          <w:tcPr>
            <w:tcW w:w="707" w:type="dxa"/>
            <w:shd w:val="clear" w:color="auto" w:fill="8DD873" w:themeFill="accent6" w:themeFillTint="99"/>
            <w:vAlign w:val="center"/>
          </w:tcPr>
          <w:p w14:paraId="59D33B47" w14:textId="666702C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17960AE8" w14:textId="44B3872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722D2046" w14:textId="571836E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483C0DE6" w14:textId="1E10451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2EDFCC2" w14:textId="1A2C612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F066DE7" w14:textId="42D60EB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4B2FF12" w14:textId="74CB2E9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1F052AC" w14:textId="4D3A68F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6B52D76E" w14:textId="77777777" w:rsidTr="00704228">
        <w:tc>
          <w:tcPr>
            <w:tcW w:w="3397" w:type="dxa"/>
            <w:vAlign w:val="bottom"/>
          </w:tcPr>
          <w:p w14:paraId="6055EF47" w14:textId="14662D67"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Sakamoto et al. (2013)</w:t>
            </w:r>
          </w:p>
        </w:tc>
        <w:tc>
          <w:tcPr>
            <w:tcW w:w="707" w:type="dxa"/>
            <w:shd w:val="clear" w:color="auto" w:fill="8DD873" w:themeFill="accent6" w:themeFillTint="99"/>
            <w:vAlign w:val="center"/>
          </w:tcPr>
          <w:p w14:paraId="5BC953C7" w14:textId="21BBFA3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559FE317" w14:textId="6861509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71D7D579" w14:textId="5493F2C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00258749" w14:textId="26E0DBE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AC3A69B" w14:textId="564C6BB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EDB4CCA" w14:textId="69BACF9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E1DF0B9" w14:textId="25A7589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DA8AF1E" w14:textId="095EB6C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3A40F7D" w14:textId="77777777" w:rsidTr="00704228">
        <w:tc>
          <w:tcPr>
            <w:tcW w:w="3397" w:type="dxa"/>
            <w:vAlign w:val="bottom"/>
          </w:tcPr>
          <w:p w14:paraId="641F8661" w14:textId="2EE88017"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Bretzin</w:t>
            </w:r>
            <w:proofErr w:type="spellEnd"/>
            <w:r w:rsidRPr="00A00B11">
              <w:rPr>
                <w:rFonts w:ascii="Times New Roman" w:eastAsia="等线" w:hAnsi="Times New Roman" w:cs="Times New Roman"/>
                <w:color w:val="000000"/>
                <w:sz w:val="24"/>
                <w:szCs w:val="24"/>
              </w:rPr>
              <w:t xml:space="preserve"> et al. (2016)</w:t>
            </w:r>
          </w:p>
        </w:tc>
        <w:tc>
          <w:tcPr>
            <w:tcW w:w="707" w:type="dxa"/>
            <w:shd w:val="clear" w:color="auto" w:fill="8DD873" w:themeFill="accent6" w:themeFillTint="99"/>
            <w:vAlign w:val="center"/>
          </w:tcPr>
          <w:p w14:paraId="287314FA" w14:textId="70319B1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61F87736" w14:textId="4DDC53B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14023BE5" w14:textId="383E006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34C07B89" w14:textId="7914265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7500B36" w14:textId="415AA1C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4CB0BA8" w14:textId="3EA5E01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C8AFB3A" w14:textId="1BCBF21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AD4E00D" w14:textId="21EC6A5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6CF35BAA" w14:textId="77777777" w:rsidTr="00704228">
        <w:tc>
          <w:tcPr>
            <w:tcW w:w="3397" w:type="dxa"/>
            <w:vAlign w:val="bottom"/>
          </w:tcPr>
          <w:p w14:paraId="07F3142B" w14:textId="2886CA9F"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Reynolds et al. (2017)</w:t>
            </w:r>
          </w:p>
        </w:tc>
        <w:tc>
          <w:tcPr>
            <w:tcW w:w="707" w:type="dxa"/>
            <w:shd w:val="clear" w:color="auto" w:fill="8DD873" w:themeFill="accent6" w:themeFillTint="99"/>
            <w:vAlign w:val="center"/>
          </w:tcPr>
          <w:p w14:paraId="13595C5D" w14:textId="16003D0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66390BBD" w14:textId="08DAD59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35843517" w14:textId="124595A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2BF58E9F" w14:textId="1F7A37A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66D2662" w14:textId="653BDC0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4662F0E" w14:textId="52E5722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F28016D" w14:textId="6F6CAED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CCBAE88" w14:textId="461D65A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7E593480" w14:textId="77777777" w:rsidTr="00704228">
        <w:tc>
          <w:tcPr>
            <w:tcW w:w="3397" w:type="dxa"/>
            <w:vAlign w:val="bottom"/>
          </w:tcPr>
          <w:p w14:paraId="4F1074CE" w14:textId="56180E8D"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Saunders et al. (2020)</w:t>
            </w:r>
          </w:p>
        </w:tc>
        <w:tc>
          <w:tcPr>
            <w:tcW w:w="707" w:type="dxa"/>
            <w:shd w:val="clear" w:color="auto" w:fill="8DD873" w:themeFill="accent6" w:themeFillTint="99"/>
            <w:vAlign w:val="center"/>
          </w:tcPr>
          <w:p w14:paraId="455DD9FA" w14:textId="3799226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3C802F2D" w14:textId="50FDE9F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1C9EA5A5" w14:textId="7541916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0D456BAF" w14:textId="6BB3460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B40C9A7" w14:textId="579C2FD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F84E489" w14:textId="7639442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8401F94" w14:textId="3E8856D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F08595D" w14:textId="2DF4D05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90CF287" w14:textId="77777777" w:rsidTr="00704228">
        <w:tc>
          <w:tcPr>
            <w:tcW w:w="3397" w:type="dxa"/>
            <w:vAlign w:val="bottom"/>
          </w:tcPr>
          <w:p w14:paraId="3F400C1C" w14:textId="73F31A6D"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Nelson et al. (2020)</w:t>
            </w:r>
          </w:p>
        </w:tc>
        <w:tc>
          <w:tcPr>
            <w:tcW w:w="707" w:type="dxa"/>
            <w:shd w:val="clear" w:color="auto" w:fill="8DD873" w:themeFill="accent6" w:themeFillTint="99"/>
            <w:vAlign w:val="center"/>
          </w:tcPr>
          <w:p w14:paraId="171D6085" w14:textId="496CC2B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5D0C99B1" w14:textId="2C900A4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4771112A" w14:textId="5C2E0E7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57AC4762" w14:textId="7F17384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73B4D40" w14:textId="0707509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90F5124" w14:textId="398387E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BA89118" w14:textId="1A826F7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CD31657" w14:textId="772E11C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7AD2E1D6" w14:textId="77777777" w:rsidTr="00704228">
        <w:tc>
          <w:tcPr>
            <w:tcW w:w="3397" w:type="dxa"/>
            <w:vAlign w:val="bottom"/>
          </w:tcPr>
          <w:p w14:paraId="10C106AE" w14:textId="5049B451"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Langdon et al. (2022)</w:t>
            </w:r>
          </w:p>
        </w:tc>
        <w:tc>
          <w:tcPr>
            <w:tcW w:w="707" w:type="dxa"/>
            <w:shd w:val="clear" w:color="auto" w:fill="8DD873" w:themeFill="accent6" w:themeFillTint="99"/>
            <w:vAlign w:val="center"/>
          </w:tcPr>
          <w:p w14:paraId="5829E853" w14:textId="16B57DC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5AC28AF2" w14:textId="71928D5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74595B19" w14:textId="105B1C7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2308D195" w14:textId="589C146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45D1294" w14:textId="0CCED07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19E7C41" w14:textId="66D75DA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8117DD6" w14:textId="57E14CF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2156BBC" w14:textId="637A8A8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15918CB" w14:textId="77777777" w:rsidTr="00704228">
        <w:tc>
          <w:tcPr>
            <w:tcW w:w="3397" w:type="dxa"/>
            <w:vAlign w:val="bottom"/>
          </w:tcPr>
          <w:p w14:paraId="072EC715" w14:textId="369776D8"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Navandar</w:t>
            </w:r>
            <w:proofErr w:type="spellEnd"/>
            <w:r w:rsidRPr="00A00B11">
              <w:rPr>
                <w:rFonts w:ascii="Times New Roman" w:eastAsia="等线" w:hAnsi="Times New Roman" w:cs="Times New Roman"/>
                <w:color w:val="000000"/>
                <w:sz w:val="24"/>
                <w:szCs w:val="24"/>
              </w:rPr>
              <w:t xml:space="preserve"> et al. (2022)</w:t>
            </w:r>
          </w:p>
        </w:tc>
        <w:tc>
          <w:tcPr>
            <w:tcW w:w="707" w:type="dxa"/>
            <w:shd w:val="clear" w:color="auto" w:fill="FF0000"/>
            <w:vAlign w:val="center"/>
          </w:tcPr>
          <w:p w14:paraId="28981951" w14:textId="5760104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FFFF00"/>
            <w:vAlign w:val="center"/>
          </w:tcPr>
          <w:p w14:paraId="6E10041A" w14:textId="68A86CC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777A44D1" w14:textId="00D5495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28AEEB01" w14:textId="6F4E056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97A608D" w14:textId="6DA99C1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6D6DD3C" w14:textId="39BDF9C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BF222BC" w14:textId="0B93891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32B5B44" w14:textId="6AF7440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3CF43BCA" w14:textId="77777777" w:rsidTr="00704228">
        <w:tc>
          <w:tcPr>
            <w:tcW w:w="3397" w:type="dxa"/>
            <w:vAlign w:val="bottom"/>
          </w:tcPr>
          <w:p w14:paraId="1218FC77" w14:textId="6BB71A20"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Iitake</w:t>
            </w:r>
            <w:proofErr w:type="spellEnd"/>
            <w:r w:rsidRPr="00A00B11">
              <w:rPr>
                <w:rFonts w:ascii="Times New Roman" w:eastAsia="等线" w:hAnsi="Times New Roman" w:cs="Times New Roman"/>
                <w:color w:val="000000"/>
                <w:sz w:val="24"/>
                <w:szCs w:val="24"/>
              </w:rPr>
              <w:t xml:space="preserve"> et al. (2022)</w:t>
            </w:r>
          </w:p>
        </w:tc>
        <w:tc>
          <w:tcPr>
            <w:tcW w:w="707" w:type="dxa"/>
            <w:shd w:val="clear" w:color="auto" w:fill="8DD873" w:themeFill="accent6" w:themeFillTint="99"/>
            <w:vAlign w:val="center"/>
          </w:tcPr>
          <w:p w14:paraId="639A171A" w14:textId="25DD75E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2975314A" w14:textId="10E5E78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0FF0AC7E" w14:textId="22C329E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1F1611A0" w14:textId="1161178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CAEF547" w14:textId="5BB45F0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F046994" w14:textId="049310E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75322DC" w14:textId="15AF158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B6D58CB" w14:textId="4556AFB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2ACD03F" w14:textId="77777777" w:rsidTr="00704228">
        <w:tc>
          <w:tcPr>
            <w:tcW w:w="3397" w:type="dxa"/>
            <w:vAlign w:val="bottom"/>
          </w:tcPr>
          <w:p w14:paraId="00A67846" w14:textId="6A723FC6"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Jackson et al. (2023)</w:t>
            </w:r>
          </w:p>
        </w:tc>
        <w:tc>
          <w:tcPr>
            <w:tcW w:w="707" w:type="dxa"/>
            <w:shd w:val="clear" w:color="auto" w:fill="8DD873" w:themeFill="accent6" w:themeFillTint="99"/>
            <w:vAlign w:val="center"/>
          </w:tcPr>
          <w:p w14:paraId="0D60B846" w14:textId="74722FA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528A1AAA" w14:textId="12746B7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172DCACF" w14:textId="7258593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52CA174D" w14:textId="2C1C340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DECD657" w14:textId="5275ACB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1E79AA0" w14:textId="6FB37FE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D23CFDA" w14:textId="02BADFA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1E9D568" w14:textId="27EB78A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13BF91D7" w14:textId="77777777" w:rsidTr="00704228">
        <w:tc>
          <w:tcPr>
            <w:tcW w:w="3397" w:type="dxa"/>
            <w:vAlign w:val="bottom"/>
          </w:tcPr>
          <w:p w14:paraId="7ABDD614" w14:textId="3C057C67"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Peek et al. (2024)</w:t>
            </w:r>
          </w:p>
        </w:tc>
        <w:tc>
          <w:tcPr>
            <w:tcW w:w="707" w:type="dxa"/>
            <w:shd w:val="clear" w:color="auto" w:fill="8DD873" w:themeFill="accent6" w:themeFillTint="99"/>
            <w:vAlign w:val="center"/>
          </w:tcPr>
          <w:p w14:paraId="5FCAAB42" w14:textId="556F964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7D18F5B0" w14:textId="4239A16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419664A9" w14:textId="6D05E47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41A08DD2" w14:textId="1CE4DF6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76D96BE" w14:textId="20C8671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23CCE9D" w14:textId="69B3BC6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1CF43D7" w14:textId="234D585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76A4AAD" w14:textId="710D19B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339DF101" w14:textId="77777777" w:rsidTr="00704228">
        <w:tc>
          <w:tcPr>
            <w:tcW w:w="3397" w:type="dxa"/>
            <w:vAlign w:val="bottom"/>
          </w:tcPr>
          <w:p w14:paraId="374A980C" w14:textId="39823D5B"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Siegle et al. (2012)</w:t>
            </w:r>
          </w:p>
        </w:tc>
        <w:tc>
          <w:tcPr>
            <w:tcW w:w="707" w:type="dxa"/>
            <w:shd w:val="clear" w:color="auto" w:fill="8DD873" w:themeFill="accent6" w:themeFillTint="99"/>
            <w:vAlign w:val="center"/>
          </w:tcPr>
          <w:p w14:paraId="43B7E2BB" w14:textId="7BB621E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00820457" w14:textId="3D2A36E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16ED405F" w14:textId="0F65804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26CB29EC" w14:textId="58D3AAE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B14048F" w14:textId="746ACB5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9FFBE86" w14:textId="5FF8114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33CF14C" w14:textId="1B82868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401C98C" w14:textId="71F2FDE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C14C562" w14:textId="77777777" w:rsidTr="00704228">
        <w:tc>
          <w:tcPr>
            <w:tcW w:w="3397" w:type="dxa"/>
            <w:vAlign w:val="bottom"/>
          </w:tcPr>
          <w:p w14:paraId="4D33717A" w14:textId="54789FE7"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Bradley et al. (2014)</w:t>
            </w:r>
          </w:p>
        </w:tc>
        <w:tc>
          <w:tcPr>
            <w:tcW w:w="707" w:type="dxa"/>
            <w:shd w:val="clear" w:color="auto" w:fill="8DD873" w:themeFill="accent6" w:themeFillTint="99"/>
            <w:vAlign w:val="center"/>
          </w:tcPr>
          <w:p w14:paraId="4995456A" w14:textId="2D6076A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7E94C327" w14:textId="54DE12F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2C0FB298" w14:textId="41B4A7D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71433BC5" w14:textId="39E5055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B58EA81" w14:textId="0A91E67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D292D1B" w14:textId="057E04C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FB44146" w14:textId="05EAC47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138D374" w14:textId="58651D0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210EEFC4" w14:textId="77777777" w:rsidTr="00704228">
        <w:tc>
          <w:tcPr>
            <w:tcW w:w="3397" w:type="dxa"/>
            <w:vAlign w:val="bottom"/>
          </w:tcPr>
          <w:p w14:paraId="53E51BF0" w14:textId="329B4493"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Jastrzębski et al. (2017)</w:t>
            </w:r>
          </w:p>
        </w:tc>
        <w:tc>
          <w:tcPr>
            <w:tcW w:w="707" w:type="dxa"/>
            <w:shd w:val="clear" w:color="auto" w:fill="FF0000"/>
            <w:vAlign w:val="center"/>
          </w:tcPr>
          <w:p w14:paraId="176DB024" w14:textId="55CA822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FFFF00"/>
            <w:vAlign w:val="center"/>
          </w:tcPr>
          <w:p w14:paraId="660B0268" w14:textId="6D24B13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4F684BDD" w14:textId="567167A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6F332F54" w14:textId="08CA254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9ABA5C0" w14:textId="53B03F7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9027084" w14:textId="6ECAA89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DA379E2" w14:textId="26ACF02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387853B" w14:textId="4C14FF4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2916B70" w14:textId="77777777" w:rsidTr="00704228">
        <w:tc>
          <w:tcPr>
            <w:tcW w:w="3397" w:type="dxa"/>
            <w:vAlign w:val="bottom"/>
          </w:tcPr>
          <w:p w14:paraId="5511090B" w14:textId="09A28536"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McFadden et al. (2020)</w:t>
            </w:r>
          </w:p>
        </w:tc>
        <w:tc>
          <w:tcPr>
            <w:tcW w:w="707" w:type="dxa"/>
            <w:shd w:val="clear" w:color="auto" w:fill="8DD873" w:themeFill="accent6" w:themeFillTint="99"/>
            <w:vAlign w:val="center"/>
          </w:tcPr>
          <w:p w14:paraId="0994D8D8" w14:textId="60A6868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2E4F94E3" w14:textId="26BC702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3E0F87B4" w14:textId="2A21EB7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4D5E9EA" w14:textId="625BCB8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D7BBAEE" w14:textId="5B5FF79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EBF1F4B" w14:textId="1B7343F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5204A21" w14:textId="2D6E10C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2C88B35" w14:textId="2BF8FA2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55E1ACDD" w14:textId="77777777" w:rsidTr="00704228">
        <w:tc>
          <w:tcPr>
            <w:tcW w:w="3397" w:type="dxa"/>
            <w:vAlign w:val="bottom"/>
          </w:tcPr>
          <w:p w14:paraId="5FD372D7" w14:textId="3ADD18DF"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Pappalardo et al. (2021)</w:t>
            </w:r>
          </w:p>
        </w:tc>
        <w:tc>
          <w:tcPr>
            <w:tcW w:w="707" w:type="dxa"/>
            <w:shd w:val="clear" w:color="auto" w:fill="8DD873" w:themeFill="accent6" w:themeFillTint="99"/>
            <w:vAlign w:val="center"/>
          </w:tcPr>
          <w:p w14:paraId="4DE98310" w14:textId="2249F18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1255D84E" w14:textId="21F21BE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0257D380" w14:textId="711DC27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7E597A96" w14:textId="0F18EBF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9C0C953" w14:textId="164F02F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3F8573D" w14:textId="2911EBB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93769B8" w14:textId="1DFFE77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DDF9848" w14:textId="4E4EE1C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1157EE11" w14:textId="77777777" w:rsidTr="00704228">
        <w:tc>
          <w:tcPr>
            <w:tcW w:w="3397" w:type="dxa"/>
            <w:vAlign w:val="bottom"/>
          </w:tcPr>
          <w:p w14:paraId="4DB188A7" w14:textId="4F0FFBF3"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Coulomb-</w:t>
            </w:r>
            <w:proofErr w:type="spellStart"/>
            <w:r w:rsidRPr="00A00B11">
              <w:rPr>
                <w:rFonts w:ascii="Times New Roman" w:eastAsia="等线" w:hAnsi="Times New Roman" w:cs="Times New Roman"/>
                <w:color w:val="000000"/>
                <w:sz w:val="24"/>
                <w:szCs w:val="24"/>
              </w:rPr>
              <w:t>Cabagno</w:t>
            </w:r>
            <w:proofErr w:type="spellEnd"/>
            <w:r w:rsidRPr="00A00B11">
              <w:rPr>
                <w:rFonts w:ascii="Times New Roman" w:eastAsia="等线" w:hAnsi="Times New Roman" w:cs="Times New Roman"/>
                <w:color w:val="000000"/>
                <w:sz w:val="24"/>
                <w:szCs w:val="24"/>
              </w:rPr>
              <w:t xml:space="preserve"> et al. (2006)</w:t>
            </w:r>
          </w:p>
        </w:tc>
        <w:tc>
          <w:tcPr>
            <w:tcW w:w="707" w:type="dxa"/>
            <w:shd w:val="clear" w:color="auto" w:fill="8DD873" w:themeFill="accent6" w:themeFillTint="99"/>
            <w:vAlign w:val="center"/>
          </w:tcPr>
          <w:p w14:paraId="2ED45DDD" w14:textId="164064F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2421B00B" w14:textId="287DFDE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3B6B57C9" w14:textId="2C2DE4A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20137FEE" w14:textId="63540DC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71F92FF" w14:textId="013D9EF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15709B2" w14:textId="114D367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31BA8F7" w14:textId="446E350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72DC128" w14:textId="522EA0D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2DA77CCE" w14:textId="77777777" w:rsidTr="00704228">
        <w:tc>
          <w:tcPr>
            <w:tcW w:w="3397" w:type="dxa"/>
            <w:vAlign w:val="bottom"/>
          </w:tcPr>
          <w:p w14:paraId="7554B4D3" w14:textId="33418A6C"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Adegbesan</w:t>
            </w:r>
            <w:proofErr w:type="spellEnd"/>
            <w:r w:rsidRPr="00A00B11">
              <w:rPr>
                <w:rFonts w:ascii="Times New Roman" w:eastAsia="等线" w:hAnsi="Times New Roman" w:cs="Times New Roman"/>
                <w:color w:val="000000"/>
                <w:sz w:val="24"/>
                <w:szCs w:val="24"/>
              </w:rPr>
              <w:t xml:space="preserve"> (2007)</w:t>
            </w:r>
          </w:p>
        </w:tc>
        <w:tc>
          <w:tcPr>
            <w:tcW w:w="707" w:type="dxa"/>
            <w:shd w:val="clear" w:color="auto" w:fill="8DD873" w:themeFill="accent6" w:themeFillTint="99"/>
            <w:vAlign w:val="center"/>
          </w:tcPr>
          <w:p w14:paraId="4DA9FAC3" w14:textId="5ED7276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0D05EB47" w14:textId="0585E5E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371FAD81" w14:textId="0634B70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554FF5DE" w14:textId="6BDA9D9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79834D7" w14:textId="1C3AF72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5300B3A" w14:textId="43B9D5C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F2B71EF" w14:textId="3707EC2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0BEAAB4" w14:textId="032F96C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5EEC32F2" w14:textId="77777777" w:rsidTr="00704228">
        <w:tc>
          <w:tcPr>
            <w:tcW w:w="3397" w:type="dxa"/>
            <w:vAlign w:val="bottom"/>
          </w:tcPr>
          <w:p w14:paraId="0D6BB445" w14:textId="74680F59"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López-Gajardo et al. (2021)</w:t>
            </w:r>
          </w:p>
        </w:tc>
        <w:tc>
          <w:tcPr>
            <w:tcW w:w="707" w:type="dxa"/>
            <w:shd w:val="clear" w:color="auto" w:fill="FF0000"/>
            <w:vAlign w:val="center"/>
          </w:tcPr>
          <w:p w14:paraId="77EF7A57" w14:textId="798EEE7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FFFF00"/>
            <w:vAlign w:val="center"/>
          </w:tcPr>
          <w:p w14:paraId="393557CD" w14:textId="01EBEAB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4E761CD4" w14:textId="3571D69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43CC430" w14:textId="7A90CF7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A3F30BD" w14:textId="3C9780F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53DB18D" w14:textId="48E467E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AD167D4" w14:textId="2031980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E8928BA" w14:textId="43FFBD2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51E4399D" w14:textId="77777777" w:rsidTr="00704228">
        <w:tc>
          <w:tcPr>
            <w:tcW w:w="3397" w:type="dxa"/>
            <w:vAlign w:val="bottom"/>
          </w:tcPr>
          <w:p w14:paraId="266B63C7" w14:textId="5721B96C"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De la Vega et al. (2022)</w:t>
            </w:r>
          </w:p>
        </w:tc>
        <w:tc>
          <w:tcPr>
            <w:tcW w:w="707" w:type="dxa"/>
            <w:shd w:val="clear" w:color="auto" w:fill="FF0000"/>
            <w:vAlign w:val="center"/>
          </w:tcPr>
          <w:p w14:paraId="00DF986C" w14:textId="62EA5CE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FFFF00"/>
            <w:vAlign w:val="center"/>
          </w:tcPr>
          <w:p w14:paraId="1CE71385" w14:textId="362083D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67E49634" w14:textId="7DF4648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76339C5" w14:textId="2BECFEE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4AC19E0" w14:textId="25FDDCB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9698204" w14:textId="7AB6888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FAD8C8C" w14:textId="6D159EC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FF5C06F" w14:textId="5795171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7F06D7A2" w14:textId="77777777" w:rsidTr="00704228">
        <w:tc>
          <w:tcPr>
            <w:tcW w:w="3397" w:type="dxa"/>
            <w:vAlign w:val="bottom"/>
          </w:tcPr>
          <w:p w14:paraId="3B832D54" w14:textId="43D35A3F"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Avugos</w:t>
            </w:r>
            <w:proofErr w:type="spellEnd"/>
            <w:r w:rsidRPr="00A00B11">
              <w:rPr>
                <w:rFonts w:ascii="Times New Roman" w:eastAsia="等线" w:hAnsi="Times New Roman" w:cs="Times New Roman"/>
                <w:color w:val="000000"/>
                <w:sz w:val="24"/>
                <w:szCs w:val="24"/>
              </w:rPr>
              <w:t xml:space="preserve"> et al. (2022)</w:t>
            </w:r>
          </w:p>
        </w:tc>
        <w:tc>
          <w:tcPr>
            <w:tcW w:w="707" w:type="dxa"/>
            <w:shd w:val="clear" w:color="auto" w:fill="FF0000"/>
            <w:vAlign w:val="center"/>
          </w:tcPr>
          <w:p w14:paraId="326EBB92" w14:textId="7F8DCDF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FFFF00"/>
            <w:vAlign w:val="center"/>
          </w:tcPr>
          <w:p w14:paraId="5D1E9186" w14:textId="53B3700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78C1B870" w14:textId="3D8665D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ACD9D12" w14:textId="64EE5F1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D0F8318" w14:textId="7782439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7251B77" w14:textId="5946766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59B85DD" w14:textId="7EBB56B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A6B3CC2" w14:textId="1A21444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6FCE1E2D" w14:textId="77777777" w:rsidTr="00704228">
        <w:tc>
          <w:tcPr>
            <w:tcW w:w="3397" w:type="dxa"/>
            <w:vAlign w:val="bottom"/>
          </w:tcPr>
          <w:p w14:paraId="448B571D" w14:textId="1E39FFF3"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Jin et al. (2023)</w:t>
            </w:r>
          </w:p>
        </w:tc>
        <w:tc>
          <w:tcPr>
            <w:tcW w:w="707" w:type="dxa"/>
            <w:shd w:val="clear" w:color="auto" w:fill="8DD873" w:themeFill="accent6" w:themeFillTint="99"/>
            <w:vAlign w:val="center"/>
          </w:tcPr>
          <w:p w14:paraId="3099D7B7" w14:textId="476CBF5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18F55BB4" w14:textId="415343F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17CBC22A" w14:textId="0C8C581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7EE47A74" w14:textId="5C4DDEF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E3AB2FF" w14:textId="6024801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CF1A80B" w14:textId="4F0AF6D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DC88BCE" w14:textId="33C0BBB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1A8478F" w14:textId="5EC09EA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219164DE" w14:textId="77777777" w:rsidTr="00704228">
        <w:tc>
          <w:tcPr>
            <w:tcW w:w="3397" w:type="dxa"/>
            <w:vAlign w:val="bottom"/>
          </w:tcPr>
          <w:p w14:paraId="51688D65" w14:textId="321CD7AF"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Bonet et al. (2024)</w:t>
            </w:r>
          </w:p>
        </w:tc>
        <w:tc>
          <w:tcPr>
            <w:tcW w:w="707" w:type="dxa"/>
            <w:shd w:val="clear" w:color="auto" w:fill="8DD873" w:themeFill="accent6" w:themeFillTint="99"/>
            <w:vAlign w:val="center"/>
          </w:tcPr>
          <w:p w14:paraId="33054F02" w14:textId="3571EE6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6DB4C81B" w14:textId="3341B9D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4B6D9F7B" w14:textId="5A9AC23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478C0C46" w14:textId="62227A7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2BFA40E" w14:textId="76D4C1B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D05A9FD" w14:textId="5A1E710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D574740" w14:textId="04DFDEF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8550AEF" w14:textId="336E06B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0DBA678D" w14:textId="77777777" w:rsidTr="00704228">
        <w:tc>
          <w:tcPr>
            <w:tcW w:w="3397" w:type="dxa"/>
            <w:vAlign w:val="bottom"/>
          </w:tcPr>
          <w:p w14:paraId="61D75DA8" w14:textId="178B1637"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Ros et al. (2013)</w:t>
            </w:r>
          </w:p>
        </w:tc>
        <w:tc>
          <w:tcPr>
            <w:tcW w:w="707" w:type="dxa"/>
            <w:shd w:val="clear" w:color="auto" w:fill="8DD873" w:themeFill="accent6" w:themeFillTint="99"/>
            <w:vAlign w:val="center"/>
          </w:tcPr>
          <w:p w14:paraId="1E30DB09" w14:textId="33D6B14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534FBC6A" w14:textId="5DC2A7F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34FC07AC" w14:textId="59F87E6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3BF312B" w14:textId="692B094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8CE16BD" w14:textId="2F0CC54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54B1B84" w14:textId="2C92927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D6B5C0A" w14:textId="434248D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AB6B13E" w14:textId="1924C85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32A8852D" w14:textId="77777777" w:rsidTr="00704228">
        <w:tc>
          <w:tcPr>
            <w:tcW w:w="3397" w:type="dxa"/>
            <w:vAlign w:val="bottom"/>
          </w:tcPr>
          <w:p w14:paraId="43233F66" w14:textId="4DDFF3F4" w:rsidR="003C2F46" w:rsidRPr="00A00B11" w:rsidRDefault="003C2F46" w:rsidP="003C2F46">
            <w:pPr>
              <w:rPr>
                <w:rFonts w:ascii="Times New Roman" w:hAnsi="Times New Roman" w:cs="Times New Roman"/>
                <w:sz w:val="24"/>
                <w:szCs w:val="24"/>
              </w:rPr>
            </w:pPr>
            <w:proofErr w:type="spellStart"/>
            <w:r w:rsidRPr="00A00B11">
              <w:rPr>
                <w:rFonts w:ascii="Times New Roman" w:eastAsia="等线" w:hAnsi="Times New Roman" w:cs="Times New Roman"/>
                <w:color w:val="000000"/>
                <w:sz w:val="24"/>
                <w:szCs w:val="24"/>
              </w:rPr>
              <w:t>Koikawa</w:t>
            </w:r>
            <w:proofErr w:type="spellEnd"/>
            <w:r w:rsidRPr="00A00B11">
              <w:rPr>
                <w:rFonts w:ascii="Times New Roman" w:eastAsia="等线" w:hAnsi="Times New Roman" w:cs="Times New Roman"/>
                <w:color w:val="000000"/>
                <w:sz w:val="24"/>
                <w:szCs w:val="24"/>
              </w:rPr>
              <w:t xml:space="preserve"> et al. (2016)</w:t>
            </w:r>
          </w:p>
        </w:tc>
        <w:tc>
          <w:tcPr>
            <w:tcW w:w="707" w:type="dxa"/>
            <w:shd w:val="clear" w:color="auto" w:fill="8DD873" w:themeFill="accent6" w:themeFillTint="99"/>
            <w:vAlign w:val="center"/>
          </w:tcPr>
          <w:p w14:paraId="3A440838" w14:textId="737F4A5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5EFC0FDA" w14:textId="0E1CD70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06F9114A" w14:textId="42C696A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1C18F75C" w14:textId="16493A1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4D65619" w14:textId="4B5D418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DB1B01C" w14:textId="5D0505F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4BDF066" w14:textId="65F8F23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5BC44CE" w14:textId="2DC1AE3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35752FB2" w14:textId="77777777" w:rsidTr="00704228">
        <w:tc>
          <w:tcPr>
            <w:tcW w:w="3397" w:type="dxa"/>
            <w:vAlign w:val="bottom"/>
          </w:tcPr>
          <w:p w14:paraId="0609F03C" w14:textId="239EA56B"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Gomez-Hixson et al. (2020)</w:t>
            </w:r>
          </w:p>
        </w:tc>
        <w:tc>
          <w:tcPr>
            <w:tcW w:w="707" w:type="dxa"/>
            <w:shd w:val="clear" w:color="auto" w:fill="8DD873" w:themeFill="accent6" w:themeFillTint="99"/>
            <w:vAlign w:val="center"/>
          </w:tcPr>
          <w:p w14:paraId="4651DBF4" w14:textId="24EE307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4D6FF548" w14:textId="30E40AB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5B21BC99" w14:textId="7DAA85D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84D1392" w14:textId="7EC640F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FF4A7A5" w14:textId="7FB5D1E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7D05C73" w14:textId="2793AA4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F779D31" w14:textId="3EF251F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AD62C7A" w14:textId="37E570D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2570BC91" w14:textId="77777777" w:rsidTr="00704228">
        <w:tc>
          <w:tcPr>
            <w:tcW w:w="3397" w:type="dxa"/>
            <w:vAlign w:val="bottom"/>
          </w:tcPr>
          <w:p w14:paraId="6BB37E60" w14:textId="183CC22E"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Biggins et al. (2022)</w:t>
            </w:r>
          </w:p>
        </w:tc>
        <w:tc>
          <w:tcPr>
            <w:tcW w:w="707" w:type="dxa"/>
            <w:shd w:val="clear" w:color="auto" w:fill="8DD873" w:themeFill="accent6" w:themeFillTint="99"/>
            <w:vAlign w:val="center"/>
          </w:tcPr>
          <w:p w14:paraId="60042A59" w14:textId="0041C5B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1AD993BE" w14:textId="40D1770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FFFF00"/>
            <w:vAlign w:val="center"/>
          </w:tcPr>
          <w:p w14:paraId="280599B8" w14:textId="01C9137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79E6FC6F" w14:textId="0AF0786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D6F314D" w14:textId="344A81A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DC31DEF" w14:textId="6F8426C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1600DD3" w14:textId="74419D5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CFF33BD" w14:textId="02E15F2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5EBB75F3" w14:textId="77777777" w:rsidTr="00704228">
        <w:tc>
          <w:tcPr>
            <w:tcW w:w="3397" w:type="dxa"/>
            <w:vAlign w:val="bottom"/>
          </w:tcPr>
          <w:p w14:paraId="70FED785" w14:textId="6DF21D0C"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Toro-Román et al. (2022)</w:t>
            </w:r>
          </w:p>
        </w:tc>
        <w:tc>
          <w:tcPr>
            <w:tcW w:w="707" w:type="dxa"/>
            <w:shd w:val="clear" w:color="auto" w:fill="FF0000"/>
            <w:vAlign w:val="center"/>
          </w:tcPr>
          <w:p w14:paraId="7B9F0924" w14:textId="2A2CE7C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8DD873" w:themeFill="accent6" w:themeFillTint="99"/>
            <w:vAlign w:val="center"/>
          </w:tcPr>
          <w:p w14:paraId="1F2EA5C9" w14:textId="0C3D509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B9AE5A9" w14:textId="26A3073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06975D6" w14:textId="16E58A0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8DA6CBB" w14:textId="6B0D73B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E8A218A" w14:textId="558AA98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435A2A5" w14:textId="093A2CC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8AD62FD" w14:textId="393EE92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08A871CB" w14:textId="77777777" w:rsidTr="00704228">
        <w:tc>
          <w:tcPr>
            <w:tcW w:w="3397" w:type="dxa"/>
            <w:vAlign w:val="bottom"/>
          </w:tcPr>
          <w:p w14:paraId="58A8D6A6" w14:textId="7C515A5B"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Kwon et al. (2023)</w:t>
            </w:r>
          </w:p>
        </w:tc>
        <w:tc>
          <w:tcPr>
            <w:tcW w:w="707" w:type="dxa"/>
            <w:shd w:val="clear" w:color="auto" w:fill="8DD873" w:themeFill="accent6" w:themeFillTint="99"/>
            <w:vAlign w:val="center"/>
          </w:tcPr>
          <w:p w14:paraId="603F834E" w14:textId="1D7B4C6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FFFF00"/>
            <w:vAlign w:val="center"/>
          </w:tcPr>
          <w:p w14:paraId="7F9D41D7" w14:textId="10B7C39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U</w:t>
            </w:r>
          </w:p>
        </w:tc>
        <w:tc>
          <w:tcPr>
            <w:tcW w:w="708" w:type="dxa"/>
            <w:shd w:val="clear" w:color="auto" w:fill="8DD873" w:themeFill="accent6" w:themeFillTint="99"/>
            <w:vAlign w:val="center"/>
          </w:tcPr>
          <w:p w14:paraId="4EF3D4A2" w14:textId="7BF1413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B312AAE" w14:textId="76009D4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83F61A1" w14:textId="0D51AF2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2912040" w14:textId="1527615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48F0B05" w14:textId="5C09C131"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EA69B80" w14:textId="69DAB93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F0C6DB0" w14:textId="77777777" w:rsidTr="00704228">
        <w:tc>
          <w:tcPr>
            <w:tcW w:w="3397" w:type="dxa"/>
            <w:vAlign w:val="bottom"/>
          </w:tcPr>
          <w:p w14:paraId="412228A0" w14:textId="58043EC8"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Robles-Gil et al. (2023)</w:t>
            </w:r>
          </w:p>
        </w:tc>
        <w:tc>
          <w:tcPr>
            <w:tcW w:w="707" w:type="dxa"/>
            <w:shd w:val="clear" w:color="auto" w:fill="FF0000"/>
            <w:vAlign w:val="center"/>
          </w:tcPr>
          <w:p w14:paraId="567D5E96" w14:textId="528D2A0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8DD873" w:themeFill="accent6" w:themeFillTint="99"/>
            <w:vAlign w:val="center"/>
          </w:tcPr>
          <w:p w14:paraId="22A27FE1" w14:textId="38193F6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F1096FB" w14:textId="7F65268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A7CF685" w14:textId="0191D8C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70A3644" w14:textId="6A359DD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1DD0A267" w14:textId="689EC56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7F2F8C5" w14:textId="16994FC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F3E95F9" w14:textId="3C5405A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0E0F7FC8" w14:textId="77777777" w:rsidTr="00704228">
        <w:tc>
          <w:tcPr>
            <w:tcW w:w="3397" w:type="dxa"/>
            <w:vAlign w:val="bottom"/>
          </w:tcPr>
          <w:p w14:paraId="2AD8D912" w14:textId="35E963E3"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Toro-Román et al. (2023b)</w:t>
            </w:r>
          </w:p>
        </w:tc>
        <w:tc>
          <w:tcPr>
            <w:tcW w:w="707" w:type="dxa"/>
            <w:shd w:val="clear" w:color="auto" w:fill="FF0000"/>
            <w:vAlign w:val="center"/>
          </w:tcPr>
          <w:p w14:paraId="5C0C631A" w14:textId="5A330DA5"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8DD873" w:themeFill="accent6" w:themeFillTint="99"/>
            <w:vAlign w:val="center"/>
          </w:tcPr>
          <w:p w14:paraId="6242B4EF" w14:textId="4076F02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4242285" w14:textId="3A7BEBD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94D1F28" w14:textId="6465ADA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EB12F60" w14:textId="32D8617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E735AA6" w14:textId="13F4380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A699E46" w14:textId="5C67B91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0E9A298" w14:textId="0B688F77"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256E873" w14:textId="77777777" w:rsidTr="00704228">
        <w:tc>
          <w:tcPr>
            <w:tcW w:w="3397" w:type="dxa"/>
            <w:vAlign w:val="bottom"/>
          </w:tcPr>
          <w:p w14:paraId="03A5D7FA" w14:textId="55A9BE26"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Toro-Román et al. (2023c)</w:t>
            </w:r>
          </w:p>
        </w:tc>
        <w:tc>
          <w:tcPr>
            <w:tcW w:w="707" w:type="dxa"/>
            <w:shd w:val="clear" w:color="auto" w:fill="FF0000"/>
            <w:vAlign w:val="center"/>
          </w:tcPr>
          <w:p w14:paraId="0C5B4DC4" w14:textId="579303F9"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8DD873" w:themeFill="accent6" w:themeFillTint="99"/>
            <w:vAlign w:val="center"/>
          </w:tcPr>
          <w:p w14:paraId="25C317AB" w14:textId="793CFABE"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86FCF31" w14:textId="5952E71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046C5D00" w14:textId="634A333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C388671" w14:textId="6EDDC40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2F8A74CB" w14:textId="6D7B759D"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6DAF5E1E" w14:textId="454B30C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BBAA4F3" w14:textId="3515C0E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39126AD9" w14:textId="77777777" w:rsidTr="00704228">
        <w:tc>
          <w:tcPr>
            <w:tcW w:w="3397" w:type="dxa"/>
            <w:vAlign w:val="bottom"/>
          </w:tcPr>
          <w:p w14:paraId="1B206C74" w14:textId="6BF0AAF8"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Sebastia-Rico et al. (2024)</w:t>
            </w:r>
          </w:p>
        </w:tc>
        <w:tc>
          <w:tcPr>
            <w:tcW w:w="707" w:type="dxa"/>
            <w:shd w:val="clear" w:color="auto" w:fill="FF0000"/>
            <w:vAlign w:val="center"/>
          </w:tcPr>
          <w:p w14:paraId="45ED6E77" w14:textId="6B5A39D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shd w:val="clear" w:color="auto" w:fill="8DD873" w:themeFill="accent6" w:themeFillTint="99"/>
            <w:vAlign w:val="center"/>
          </w:tcPr>
          <w:p w14:paraId="40B39A48" w14:textId="2DED0738"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453287D5" w14:textId="5C4E03E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E91E1C0" w14:textId="408FEBB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7D8E67C0" w14:textId="4E9C5A9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B2F2B42" w14:textId="36FA6160"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3B9B5C37" w14:textId="61FFF4F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shd w:val="clear" w:color="auto" w:fill="8DD873" w:themeFill="accent6" w:themeFillTint="99"/>
            <w:vAlign w:val="center"/>
          </w:tcPr>
          <w:p w14:paraId="522D90A2" w14:textId="553D3156"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3C2F46" w:rsidRPr="00A00B11" w14:paraId="449E67F5" w14:textId="77777777" w:rsidTr="00D903DB">
        <w:tc>
          <w:tcPr>
            <w:tcW w:w="3397" w:type="dxa"/>
            <w:tcBorders>
              <w:bottom w:val="single" w:sz="12" w:space="0" w:color="auto"/>
            </w:tcBorders>
            <w:vAlign w:val="bottom"/>
          </w:tcPr>
          <w:p w14:paraId="1299D210" w14:textId="0ADBCCE8" w:rsidR="003C2F46" w:rsidRPr="00A00B11" w:rsidRDefault="003C2F46" w:rsidP="003C2F46">
            <w:pPr>
              <w:rPr>
                <w:rFonts w:ascii="Times New Roman" w:hAnsi="Times New Roman" w:cs="Times New Roman"/>
                <w:sz w:val="24"/>
                <w:szCs w:val="24"/>
              </w:rPr>
            </w:pPr>
            <w:r w:rsidRPr="00A00B11">
              <w:rPr>
                <w:rFonts w:ascii="Times New Roman" w:eastAsia="等线" w:hAnsi="Times New Roman" w:cs="Times New Roman"/>
                <w:color w:val="000000"/>
                <w:sz w:val="24"/>
                <w:szCs w:val="24"/>
              </w:rPr>
              <w:t>Toro-Román et al. (2024)</w:t>
            </w:r>
          </w:p>
        </w:tc>
        <w:tc>
          <w:tcPr>
            <w:tcW w:w="707" w:type="dxa"/>
            <w:tcBorders>
              <w:bottom w:val="single" w:sz="12" w:space="0" w:color="auto"/>
            </w:tcBorders>
            <w:shd w:val="clear" w:color="auto" w:fill="FF0000"/>
            <w:vAlign w:val="center"/>
          </w:tcPr>
          <w:p w14:paraId="321C7160" w14:textId="6E375EBB"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H</w:t>
            </w:r>
          </w:p>
        </w:tc>
        <w:tc>
          <w:tcPr>
            <w:tcW w:w="708" w:type="dxa"/>
            <w:tcBorders>
              <w:bottom w:val="single" w:sz="12" w:space="0" w:color="auto"/>
            </w:tcBorders>
            <w:shd w:val="clear" w:color="auto" w:fill="8DD873" w:themeFill="accent6" w:themeFillTint="99"/>
            <w:vAlign w:val="center"/>
          </w:tcPr>
          <w:p w14:paraId="0836473F" w14:textId="18DC2D92"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bottom w:val="single" w:sz="12" w:space="0" w:color="auto"/>
            </w:tcBorders>
            <w:shd w:val="clear" w:color="auto" w:fill="8DD873" w:themeFill="accent6" w:themeFillTint="99"/>
            <w:vAlign w:val="center"/>
          </w:tcPr>
          <w:p w14:paraId="2557E76C" w14:textId="419AA644"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bottom w:val="single" w:sz="12" w:space="0" w:color="auto"/>
            </w:tcBorders>
            <w:shd w:val="clear" w:color="auto" w:fill="8DD873" w:themeFill="accent6" w:themeFillTint="99"/>
            <w:vAlign w:val="center"/>
          </w:tcPr>
          <w:p w14:paraId="3855E22B" w14:textId="67C874BA"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bottom w:val="single" w:sz="12" w:space="0" w:color="auto"/>
            </w:tcBorders>
            <w:shd w:val="clear" w:color="auto" w:fill="8DD873" w:themeFill="accent6" w:themeFillTint="99"/>
            <w:vAlign w:val="center"/>
          </w:tcPr>
          <w:p w14:paraId="51D24D7B" w14:textId="0B3C6D1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bottom w:val="single" w:sz="12" w:space="0" w:color="auto"/>
            </w:tcBorders>
            <w:shd w:val="clear" w:color="auto" w:fill="8DD873" w:themeFill="accent6" w:themeFillTint="99"/>
            <w:vAlign w:val="center"/>
          </w:tcPr>
          <w:p w14:paraId="0BF35AED" w14:textId="450C15DC"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bottom w:val="single" w:sz="12" w:space="0" w:color="auto"/>
            </w:tcBorders>
            <w:shd w:val="clear" w:color="auto" w:fill="8DD873" w:themeFill="accent6" w:themeFillTint="99"/>
            <w:vAlign w:val="center"/>
          </w:tcPr>
          <w:p w14:paraId="11F3F783" w14:textId="135FA533"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c>
          <w:tcPr>
            <w:tcW w:w="708" w:type="dxa"/>
            <w:tcBorders>
              <w:bottom w:val="single" w:sz="12" w:space="0" w:color="auto"/>
            </w:tcBorders>
            <w:shd w:val="clear" w:color="auto" w:fill="8DD873" w:themeFill="accent6" w:themeFillTint="99"/>
            <w:vAlign w:val="center"/>
          </w:tcPr>
          <w:p w14:paraId="576B2605" w14:textId="638A471F" w:rsidR="003C2F46" w:rsidRPr="00A00B11" w:rsidRDefault="003C2F46" w:rsidP="00394F9E">
            <w:pPr>
              <w:jc w:val="center"/>
              <w:rPr>
                <w:rFonts w:ascii="Times New Roman" w:hAnsi="Times New Roman" w:cs="Times New Roman"/>
                <w:sz w:val="24"/>
                <w:szCs w:val="24"/>
              </w:rPr>
            </w:pPr>
            <w:r w:rsidRPr="00A00B11">
              <w:rPr>
                <w:rFonts w:ascii="Times New Roman" w:hAnsi="Times New Roman" w:cs="Times New Roman"/>
                <w:sz w:val="24"/>
                <w:szCs w:val="24"/>
              </w:rPr>
              <w:t>L</w:t>
            </w:r>
          </w:p>
        </w:tc>
      </w:tr>
      <w:tr w:rsidR="00656CDD" w:rsidRPr="00A00B11" w14:paraId="1BE06D7B" w14:textId="77777777" w:rsidTr="00D903DB">
        <w:trPr>
          <w:trHeight w:val="616"/>
        </w:trPr>
        <w:tc>
          <w:tcPr>
            <w:tcW w:w="9060" w:type="dxa"/>
            <w:gridSpan w:val="9"/>
            <w:tcBorders>
              <w:top w:val="single" w:sz="12" w:space="0" w:color="auto"/>
              <w:bottom w:val="nil"/>
            </w:tcBorders>
            <w:vAlign w:val="bottom"/>
          </w:tcPr>
          <w:p w14:paraId="38D9F032" w14:textId="5CA9D010" w:rsidR="00656CDD" w:rsidRPr="00A00B11" w:rsidRDefault="002A0B55" w:rsidP="00B44E90">
            <w:pPr>
              <w:rPr>
                <w:rFonts w:ascii="Times New Roman" w:hAnsi="Times New Roman" w:cs="Times New Roman"/>
                <w:sz w:val="24"/>
                <w:szCs w:val="24"/>
              </w:rPr>
            </w:pPr>
            <w:r w:rsidRPr="00A00B11">
              <w:rPr>
                <w:rFonts w:ascii="Times New Roman" w:hAnsi="Times New Roman" w:cs="Times New Roman"/>
                <w:b/>
                <w:bCs/>
                <w:sz w:val="24"/>
                <w:szCs w:val="24"/>
              </w:rPr>
              <w:t xml:space="preserve">Abbreviations: </w:t>
            </w:r>
            <w:r w:rsidR="00C040AD" w:rsidRPr="00A00B11">
              <w:rPr>
                <w:rFonts w:ascii="Times New Roman" w:hAnsi="Times New Roman" w:cs="Times New Roman"/>
                <w:sz w:val="24"/>
                <w:szCs w:val="24"/>
              </w:rPr>
              <w:t>D1,</w:t>
            </w:r>
            <w:r w:rsidR="00EB4116" w:rsidRPr="00A00B11">
              <w:rPr>
                <w:rFonts w:ascii="Times New Roman" w:hAnsi="Times New Roman" w:cs="Times New Roman"/>
                <w:sz w:val="24"/>
                <w:szCs w:val="24"/>
              </w:rPr>
              <w:t xml:space="preserve"> comparability of the target group</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w:t>
            </w:r>
            <w:r w:rsidR="00C040AD" w:rsidRPr="00A00B11">
              <w:rPr>
                <w:rFonts w:ascii="Times New Roman" w:hAnsi="Times New Roman" w:cs="Times New Roman"/>
                <w:sz w:val="24"/>
                <w:szCs w:val="24"/>
              </w:rPr>
              <w:t>D2,</w:t>
            </w:r>
            <w:r w:rsidR="00EB4116" w:rsidRPr="00A00B11">
              <w:rPr>
                <w:rFonts w:ascii="Times New Roman" w:hAnsi="Times New Roman" w:cs="Times New Roman"/>
                <w:sz w:val="24"/>
                <w:szCs w:val="24"/>
              </w:rPr>
              <w:t xml:space="preserve"> target group selection</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w:t>
            </w:r>
            <w:r w:rsidR="00C040AD" w:rsidRPr="00A00B11">
              <w:rPr>
                <w:rFonts w:ascii="Times New Roman" w:hAnsi="Times New Roman" w:cs="Times New Roman"/>
                <w:sz w:val="24"/>
                <w:szCs w:val="24"/>
              </w:rPr>
              <w:t>D3,</w:t>
            </w:r>
            <w:r w:rsidR="00EB4116" w:rsidRPr="00A00B11">
              <w:rPr>
                <w:rFonts w:ascii="Times New Roman" w:hAnsi="Times New Roman" w:cs="Times New Roman"/>
                <w:sz w:val="24"/>
                <w:szCs w:val="24"/>
              </w:rPr>
              <w:t xml:space="preserve"> confounders</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w:t>
            </w:r>
            <w:r w:rsidR="00F45048" w:rsidRPr="00A00B11">
              <w:rPr>
                <w:rFonts w:ascii="Times New Roman" w:hAnsi="Times New Roman" w:cs="Times New Roman"/>
                <w:sz w:val="24"/>
                <w:szCs w:val="24"/>
              </w:rPr>
              <w:t xml:space="preserve">D4, measurement of intervention/exposure; </w:t>
            </w:r>
            <w:r w:rsidR="00C040AD" w:rsidRPr="00A00B11">
              <w:rPr>
                <w:rFonts w:ascii="Times New Roman" w:hAnsi="Times New Roman" w:cs="Times New Roman"/>
                <w:sz w:val="24"/>
                <w:szCs w:val="24"/>
              </w:rPr>
              <w:t>D</w:t>
            </w:r>
            <w:r w:rsidR="00F45048" w:rsidRPr="00A00B11">
              <w:rPr>
                <w:rFonts w:ascii="Times New Roman" w:hAnsi="Times New Roman" w:cs="Times New Roman"/>
                <w:sz w:val="24"/>
                <w:szCs w:val="24"/>
              </w:rPr>
              <w:t>5</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blinding of assessors</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w:t>
            </w:r>
            <w:r w:rsidR="00C040AD" w:rsidRPr="00A00B11">
              <w:rPr>
                <w:rFonts w:ascii="Times New Roman" w:hAnsi="Times New Roman" w:cs="Times New Roman"/>
                <w:sz w:val="24"/>
                <w:szCs w:val="24"/>
              </w:rPr>
              <w:t>D</w:t>
            </w:r>
            <w:r w:rsidR="00F45048" w:rsidRPr="00A00B11">
              <w:rPr>
                <w:rFonts w:ascii="Times New Roman" w:hAnsi="Times New Roman" w:cs="Times New Roman"/>
                <w:sz w:val="24"/>
                <w:szCs w:val="24"/>
              </w:rPr>
              <w:t>6</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outcome assessment</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w:t>
            </w:r>
            <w:r w:rsidR="00C040AD" w:rsidRPr="00A00B11">
              <w:rPr>
                <w:rFonts w:ascii="Times New Roman" w:hAnsi="Times New Roman" w:cs="Times New Roman"/>
                <w:sz w:val="24"/>
                <w:szCs w:val="24"/>
              </w:rPr>
              <w:t>D</w:t>
            </w:r>
            <w:r w:rsidR="00F45048" w:rsidRPr="00A00B11">
              <w:rPr>
                <w:rFonts w:ascii="Times New Roman" w:hAnsi="Times New Roman" w:cs="Times New Roman"/>
                <w:sz w:val="24"/>
                <w:szCs w:val="24"/>
              </w:rPr>
              <w:t>7</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incomplete outcome data</w:t>
            </w:r>
            <w:r w:rsidR="00C040AD" w:rsidRPr="00A00B11">
              <w:rPr>
                <w:rFonts w:ascii="Times New Roman" w:hAnsi="Times New Roman" w:cs="Times New Roman"/>
                <w:sz w:val="24"/>
                <w:szCs w:val="24"/>
              </w:rPr>
              <w:t>;</w:t>
            </w:r>
            <w:r w:rsidR="00EB4116" w:rsidRPr="00A00B11">
              <w:rPr>
                <w:rFonts w:ascii="Times New Roman" w:hAnsi="Times New Roman" w:cs="Times New Roman"/>
                <w:sz w:val="24"/>
                <w:szCs w:val="24"/>
              </w:rPr>
              <w:t xml:space="preserve"> </w:t>
            </w:r>
            <w:r w:rsidR="00C040AD" w:rsidRPr="00A00B11">
              <w:rPr>
                <w:rFonts w:ascii="Times New Roman" w:hAnsi="Times New Roman" w:cs="Times New Roman"/>
                <w:sz w:val="24"/>
                <w:szCs w:val="24"/>
              </w:rPr>
              <w:t>D</w:t>
            </w:r>
            <w:r w:rsidR="00F45048" w:rsidRPr="00A00B11">
              <w:rPr>
                <w:rFonts w:ascii="Times New Roman" w:hAnsi="Times New Roman" w:cs="Times New Roman"/>
                <w:sz w:val="24"/>
                <w:szCs w:val="24"/>
              </w:rPr>
              <w:t>8</w:t>
            </w:r>
            <w:r w:rsidR="00C040AD" w:rsidRPr="00A00B11">
              <w:rPr>
                <w:rFonts w:ascii="Times New Roman" w:hAnsi="Times New Roman" w:cs="Times New Roman"/>
                <w:sz w:val="24"/>
                <w:szCs w:val="24"/>
              </w:rPr>
              <w:t>,</w:t>
            </w:r>
            <w:r w:rsidR="00F45048" w:rsidRPr="00A00B11">
              <w:rPr>
                <w:rFonts w:ascii="Times New Roman" w:hAnsi="Times New Roman" w:cs="Times New Roman"/>
                <w:sz w:val="24"/>
                <w:szCs w:val="24"/>
              </w:rPr>
              <w:t xml:space="preserve"> selective outcome reporting</w:t>
            </w:r>
            <w:r w:rsidR="00C040AD" w:rsidRPr="00A00B11">
              <w:rPr>
                <w:rFonts w:ascii="Times New Roman" w:hAnsi="Times New Roman" w:cs="Times New Roman"/>
                <w:sz w:val="24"/>
                <w:szCs w:val="24"/>
              </w:rPr>
              <w:t xml:space="preserve">; </w:t>
            </w:r>
            <w:r w:rsidRPr="00A00B11">
              <w:rPr>
                <w:rFonts w:ascii="Times New Roman" w:hAnsi="Times New Roman" w:cs="Times New Roman"/>
                <w:sz w:val="24"/>
                <w:szCs w:val="24"/>
              </w:rPr>
              <w:t>L, low risk of bias; U, unclear risk of bias; H, high risk of bias.</w:t>
            </w:r>
          </w:p>
        </w:tc>
      </w:tr>
    </w:tbl>
    <w:p w14:paraId="7728B725" w14:textId="77777777" w:rsidR="00077FD3" w:rsidRDefault="00077FD3" w:rsidP="00B370B0">
      <w:pPr>
        <w:spacing w:afterLines="100" w:after="312"/>
        <w:rPr>
          <w:rFonts w:ascii="Arial" w:hAnsi="Arial" w:cs="Arial"/>
          <w:b/>
          <w:bCs/>
        </w:rPr>
        <w:sectPr w:rsidR="00077FD3" w:rsidSect="001F6296">
          <w:pgSz w:w="11906" w:h="16838" w:code="9"/>
          <w:pgMar w:top="1134" w:right="1134" w:bottom="1134" w:left="1134" w:header="851" w:footer="992" w:gutter="0"/>
          <w:cols w:space="425"/>
          <w:docGrid w:type="lines" w:linePitch="312"/>
        </w:sectPr>
      </w:pPr>
      <w:bookmarkStart w:id="0" w:name="_Hlk181195958"/>
    </w:p>
    <w:p w14:paraId="7803F255" w14:textId="7B3CAE99" w:rsidR="00B370B0" w:rsidRPr="005F4C62" w:rsidRDefault="00B370B0" w:rsidP="003D7936">
      <w:pPr>
        <w:spacing w:afterLines="100" w:after="312"/>
        <w:rPr>
          <w:rFonts w:ascii="Arial" w:hAnsi="Arial" w:cs="Arial"/>
          <w:b/>
          <w:bCs/>
        </w:rPr>
      </w:pPr>
      <w:r w:rsidRPr="005F4C62">
        <w:rPr>
          <w:rFonts w:ascii="Arial" w:hAnsi="Arial" w:cs="Arial"/>
          <w:b/>
          <w:bCs/>
        </w:rPr>
        <w:lastRenderedPageBreak/>
        <w:t>References</w:t>
      </w:r>
    </w:p>
    <w:bookmarkEnd w:id="0"/>
    <w:p w14:paraId="0819CB1C"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fldChar w:fldCharType="begin"/>
      </w:r>
      <w:r w:rsidRPr="00115197">
        <w:rPr>
          <w:rFonts w:ascii="Times New Roman" w:hAnsi="Times New Roman" w:cs="Times New Roman"/>
          <w:sz w:val="24"/>
          <w:szCs w:val="24"/>
        </w:rPr>
        <w:instrText xml:space="preserve"> ADDIN EN.REFLIST </w:instrText>
      </w:r>
      <w:r w:rsidRPr="00115197">
        <w:rPr>
          <w:rFonts w:ascii="Times New Roman" w:hAnsi="Times New Roman" w:cs="Times New Roman"/>
          <w:sz w:val="24"/>
          <w:szCs w:val="24"/>
        </w:rPr>
        <w:fldChar w:fldCharType="separate"/>
      </w:r>
      <w:r w:rsidRPr="00115197">
        <w:rPr>
          <w:rFonts w:ascii="Times New Roman" w:hAnsi="Times New Roman" w:cs="Times New Roman"/>
          <w:sz w:val="24"/>
          <w:szCs w:val="24"/>
        </w:rPr>
        <w:t xml:space="preserve">Adegbesan, O. A. (2007). Sources of sport confidence of elite male and female soccer players in Nigeria. </w:t>
      </w:r>
      <w:r w:rsidRPr="00115197">
        <w:rPr>
          <w:rFonts w:ascii="Times New Roman" w:hAnsi="Times New Roman" w:cs="Times New Roman"/>
          <w:i/>
          <w:sz w:val="24"/>
          <w:szCs w:val="24"/>
        </w:rPr>
        <w:t>Eur J Sci Res, 18</w:t>
      </w:r>
      <w:r w:rsidRPr="00115197">
        <w:rPr>
          <w:rFonts w:ascii="Times New Roman" w:hAnsi="Times New Roman" w:cs="Times New Roman"/>
          <w:sz w:val="24"/>
          <w:szCs w:val="24"/>
        </w:rPr>
        <w:t xml:space="preserve">(2), 217-222. </w:t>
      </w:r>
    </w:p>
    <w:p w14:paraId="6091AF7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Ahmad, M. N. and Abu Al Haija, D. M. (2024). Circulating irisin and its connection with indices of body composition in aerobic and anaerobic endurance professional athletes: a case-control study. </w:t>
      </w:r>
      <w:r w:rsidRPr="00115197">
        <w:rPr>
          <w:rFonts w:ascii="Times New Roman" w:hAnsi="Times New Roman" w:cs="Times New Roman"/>
          <w:i/>
          <w:sz w:val="24"/>
          <w:szCs w:val="24"/>
        </w:rPr>
        <w:t>Health, sport, rehabilitation, 10</w:t>
      </w:r>
      <w:r w:rsidRPr="00115197">
        <w:rPr>
          <w:rFonts w:ascii="Times New Roman" w:hAnsi="Times New Roman" w:cs="Times New Roman"/>
          <w:sz w:val="24"/>
          <w:szCs w:val="24"/>
        </w:rPr>
        <w:t>(1), 27-38. doi:10.58962/hsr.2024.10.1.27-38</w:t>
      </w:r>
    </w:p>
    <w:p w14:paraId="5004335A"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Avugos, S., Azar, O. H., Sher, E., Gavish, N. and Bar-Eli, M. (2022). Detecting patterns in the behaviour of goalkeepers and kickers in the penalty shootout: a between-gender comparison among score situations. </w:t>
      </w:r>
      <w:r w:rsidRPr="00115197">
        <w:rPr>
          <w:rFonts w:ascii="Times New Roman" w:hAnsi="Times New Roman" w:cs="Times New Roman"/>
          <w:i/>
          <w:sz w:val="24"/>
          <w:szCs w:val="24"/>
        </w:rPr>
        <w:t>Int J Sport Exerc Psychol, 21</w:t>
      </w:r>
      <w:r w:rsidRPr="00115197">
        <w:rPr>
          <w:rFonts w:ascii="Times New Roman" w:hAnsi="Times New Roman" w:cs="Times New Roman"/>
          <w:sz w:val="24"/>
          <w:szCs w:val="24"/>
        </w:rPr>
        <w:t>(2), 196-216. doi:10.1080/1612197x.2022.2066704</w:t>
      </w:r>
    </w:p>
    <w:p w14:paraId="4C32F17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Baker, B. S., Chen, Z., Larson, R. D., Bemben, M. G. and Bemben, D. A. (2020). Sex differences in bone density, geometry, and bone strength of competitive soccer players. </w:t>
      </w:r>
      <w:r w:rsidRPr="00115197">
        <w:rPr>
          <w:rFonts w:ascii="Times New Roman" w:hAnsi="Times New Roman" w:cs="Times New Roman"/>
          <w:i/>
          <w:sz w:val="24"/>
          <w:szCs w:val="24"/>
        </w:rPr>
        <w:t>J Musculoskelet Neuronal Interact, 20</w:t>
      </w:r>
      <w:r w:rsidRPr="00115197">
        <w:rPr>
          <w:rFonts w:ascii="Times New Roman" w:hAnsi="Times New Roman" w:cs="Times New Roman"/>
          <w:sz w:val="24"/>
          <w:szCs w:val="24"/>
        </w:rPr>
        <w:t xml:space="preserve">(1), 62-76. </w:t>
      </w:r>
    </w:p>
    <w:p w14:paraId="5966400A"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Barfield, W. R., Kirkendall, D. T. and Yu, B. (2002). Kinematic instep kicking differences between elite female and male soccer players. </w:t>
      </w:r>
      <w:r w:rsidRPr="00115197">
        <w:rPr>
          <w:rFonts w:ascii="Times New Roman" w:hAnsi="Times New Roman" w:cs="Times New Roman"/>
          <w:i/>
          <w:sz w:val="24"/>
          <w:szCs w:val="24"/>
        </w:rPr>
        <w:t>J Sport Sci Med, 1</w:t>
      </w:r>
      <w:r w:rsidRPr="00115197">
        <w:rPr>
          <w:rFonts w:ascii="Times New Roman" w:hAnsi="Times New Roman" w:cs="Times New Roman"/>
          <w:sz w:val="24"/>
          <w:szCs w:val="24"/>
        </w:rPr>
        <w:t>(3), 72-79. doi:10.1097/00005768-200105001-00576</w:t>
      </w:r>
    </w:p>
    <w:p w14:paraId="42B3A95B"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Baumgart, C., Freiwald, J. and Hoppe, M. W. (2018). Sprint mechanical properties of female and different aged male top-level german soccer players. </w:t>
      </w:r>
      <w:r w:rsidRPr="00115197">
        <w:rPr>
          <w:rFonts w:ascii="Times New Roman" w:hAnsi="Times New Roman" w:cs="Times New Roman"/>
          <w:i/>
          <w:sz w:val="24"/>
          <w:szCs w:val="24"/>
        </w:rPr>
        <w:t>Sports, 6</w:t>
      </w:r>
      <w:r w:rsidRPr="00115197">
        <w:rPr>
          <w:rFonts w:ascii="Times New Roman" w:hAnsi="Times New Roman" w:cs="Times New Roman"/>
          <w:sz w:val="24"/>
          <w:szCs w:val="24"/>
        </w:rPr>
        <w:t>(4). doi:10.3390/sports6040161</w:t>
      </w:r>
    </w:p>
    <w:p w14:paraId="0174ED3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Baumgart, C., Hoppe, M. W. and Freiwald, J. (2014). Different endurance characteristics of female and male german soccer players. </w:t>
      </w:r>
      <w:r w:rsidRPr="00115197">
        <w:rPr>
          <w:rFonts w:ascii="Times New Roman" w:hAnsi="Times New Roman" w:cs="Times New Roman"/>
          <w:i/>
          <w:sz w:val="24"/>
          <w:szCs w:val="24"/>
        </w:rPr>
        <w:t>Biol Sport, 31</w:t>
      </w:r>
      <w:r w:rsidRPr="00115197">
        <w:rPr>
          <w:rFonts w:ascii="Times New Roman" w:hAnsi="Times New Roman" w:cs="Times New Roman"/>
          <w:sz w:val="24"/>
          <w:szCs w:val="24"/>
        </w:rPr>
        <w:t>(3), 227-232. doi:10.5604/20831862.1111851</w:t>
      </w:r>
    </w:p>
    <w:p w14:paraId="7DBD12B2"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Biggins, M., Purtill, H., Fowler, P., O'Sullivan, K. and Cahalan, R. (2022). Impact of long-haul travel to international competition on sleep and recovery in elite male and female soccer athletes. </w:t>
      </w:r>
      <w:r w:rsidRPr="00115197">
        <w:rPr>
          <w:rFonts w:ascii="Times New Roman" w:hAnsi="Times New Roman" w:cs="Times New Roman"/>
          <w:i/>
          <w:sz w:val="24"/>
          <w:szCs w:val="24"/>
        </w:rPr>
        <w:t>Int J Sports Physiol Perform, 17</w:t>
      </w:r>
      <w:r w:rsidRPr="00115197">
        <w:rPr>
          <w:rFonts w:ascii="Times New Roman" w:hAnsi="Times New Roman" w:cs="Times New Roman"/>
          <w:sz w:val="24"/>
          <w:szCs w:val="24"/>
        </w:rPr>
        <w:t>(9), 1361-1370. doi:10.1123/ijspp.2021-0165</w:t>
      </w:r>
    </w:p>
    <w:p w14:paraId="59832DF3"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Bonet, L., Benito, A., Uso, H., Peraire, M., Haro, G. and Almodovar-Fernandez, I. (2024). Mental health in first- and second-division soccer players: a cross-sectional study. </w:t>
      </w:r>
      <w:r w:rsidRPr="00115197">
        <w:rPr>
          <w:rFonts w:ascii="Times New Roman" w:hAnsi="Times New Roman" w:cs="Times New Roman"/>
          <w:i/>
          <w:sz w:val="24"/>
          <w:szCs w:val="24"/>
        </w:rPr>
        <w:t>Sports, 12</w:t>
      </w:r>
      <w:r w:rsidRPr="00115197">
        <w:rPr>
          <w:rFonts w:ascii="Times New Roman" w:hAnsi="Times New Roman" w:cs="Times New Roman"/>
          <w:sz w:val="24"/>
          <w:szCs w:val="24"/>
        </w:rPr>
        <w:t>(4). doi:10.3390/sports12040106</w:t>
      </w:r>
    </w:p>
    <w:p w14:paraId="1886AF4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Bradley, P. S., Dellal, A., Mohr, M., Castellano, J. and Wilkie, A. (2014). Gender differences in match performance characteristics of soccer players competing in the UEFA Champions League. </w:t>
      </w:r>
      <w:r w:rsidRPr="00115197">
        <w:rPr>
          <w:rFonts w:ascii="Times New Roman" w:hAnsi="Times New Roman" w:cs="Times New Roman"/>
          <w:i/>
          <w:sz w:val="24"/>
          <w:szCs w:val="24"/>
        </w:rPr>
        <w:t>Hum. Mov. Sci., 33</w:t>
      </w:r>
      <w:r w:rsidRPr="00115197">
        <w:rPr>
          <w:rFonts w:ascii="Times New Roman" w:hAnsi="Times New Roman" w:cs="Times New Roman"/>
          <w:sz w:val="24"/>
          <w:szCs w:val="24"/>
        </w:rPr>
        <w:t>, 159-171. doi:10.1016/j.humov.2013.07.024</w:t>
      </w:r>
    </w:p>
    <w:p w14:paraId="01FDFA4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Bretzin, A. C., Mansell, J. L., Tierney, R. T. and McDevitt, J. K. (2016). Sex differences in anthropometrics and heading kinematics among Division I soccer athletes. </w:t>
      </w:r>
      <w:r w:rsidRPr="00115197">
        <w:rPr>
          <w:rFonts w:ascii="Times New Roman" w:hAnsi="Times New Roman" w:cs="Times New Roman"/>
          <w:i/>
          <w:sz w:val="24"/>
          <w:szCs w:val="24"/>
        </w:rPr>
        <w:t>Sports Health, 9</w:t>
      </w:r>
      <w:r w:rsidRPr="00115197">
        <w:rPr>
          <w:rFonts w:ascii="Times New Roman" w:hAnsi="Times New Roman" w:cs="Times New Roman"/>
          <w:sz w:val="24"/>
          <w:szCs w:val="24"/>
        </w:rPr>
        <w:t>(2), 168-173. doi:10.1177/1941738116678615</w:t>
      </w:r>
    </w:p>
    <w:p w14:paraId="077728F9"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Brophy, R. H., Chiaia, T. A., Maschi, R., Dodson, C. C., Oh, L. S., Lyman, S., Allen, A. A. and Williams, R. J. (2009). The core and hip in soccer athletes compared by gender. </w:t>
      </w:r>
      <w:r w:rsidRPr="00115197">
        <w:rPr>
          <w:rFonts w:ascii="Times New Roman" w:hAnsi="Times New Roman" w:cs="Times New Roman"/>
          <w:i/>
          <w:sz w:val="24"/>
          <w:szCs w:val="24"/>
        </w:rPr>
        <w:t>Int J Sports Med, 30</w:t>
      </w:r>
      <w:r w:rsidRPr="00115197">
        <w:rPr>
          <w:rFonts w:ascii="Times New Roman" w:hAnsi="Times New Roman" w:cs="Times New Roman"/>
          <w:sz w:val="24"/>
          <w:szCs w:val="24"/>
        </w:rPr>
        <w:t>(9), 663-667. doi:10.1055/s-0029-1225328</w:t>
      </w:r>
    </w:p>
    <w:p w14:paraId="016B8E43"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Burfeind, K., Hong, J. G. and Stavrianeas, S. (2012). Gender differences in the neuromuscular fitness profiles of NCAA Division III soccer players. </w:t>
      </w:r>
      <w:r w:rsidRPr="00115197">
        <w:rPr>
          <w:rFonts w:ascii="Times New Roman" w:hAnsi="Times New Roman" w:cs="Times New Roman"/>
          <w:i/>
          <w:sz w:val="24"/>
          <w:szCs w:val="24"/>
        </w:rPr>
        <w:t>Isokinet Exerc Sci, 20</w:t>
      </w:r>
      <w:r w:rsidRPr="00115197">
        <w:rPr>
          <w:rFonts w:ascii="Times New Roman" w:hAnsi="Times New Roman" w:cs="Times New Roman"/>
          <w:sz w:val="24"/>
          <w:szCs w:val="24"/>
        </w:rPr>
        <w:t>(2), 115-120. doi:10.3233/ies-2012-0449</w:t>
      </w:r>
    </w:p>
    <w:p w14:paraId="163D547C"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Cardoso de Araujo, M., Baumgart, C., Freiwald, J. and Hoppe, M. W. (2019). Contrasts in intermittent endurance performance and heart rate response between female and male soccer players of different playing levels. </w:t>
      </w:r>
      <w:r w:rsidRPr="00115197">
        <w:rPr>
          <w:rFonts w:ascii="Times New Roman" w:hAnsi="Times New Roman" w:cs="Times New Roman"/>
          <w:i/>
          <w:sz w:val="24"/>
          <w:szCs w:val="24"/>
        </w:rPr>
        <w:t>Biol Sport, 36</w:t>
      </w:r>
      <w:r w:rsidRPr="00115197">
        <w:rPr>
          <w:rFonts w:ascii="Times New Roman" w:hAnsi="Times New Roman" w:cs="Times New Roman"/>
          <w:sz w:val="24"/>
          <w:szCs w:val="24"/>
        </w:rPr>
        <w:t>(4), 323-331. doi:10.5114/biolsport.2019.88755</w:t>
      </w:r>
    </w:p>
    <w:p w14:paraId="49DECD73"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Cardoso de Araujo, M., Baumgart, C., Jansen, C. T., Freiwald, J. and Hoppe, M. W. (2018). Sex differences in physical capacities of German Bundesliga soccer players. </w:t>
      </w:r>
      <w:r w:rsidRPr="00115197">
        <w:rPr>
          <w:rFonts w:ascii="Times New Roman" w:hAnsi="Times New Roman" w:cs="Times New Roman"/>
          <w:i/>
          <w:sz w:val="24"/>
          <w:szCs w:val="24"/>
        </w:rPr>
        <w:t>J Strength Cond Res, 34</w:t>
      </w:r>
      <w:r w:rsidRPr="00115197">
        <w:rPr>
          <w:rFonts w:ascii="Times New Roman" w:hAnsi="Times New Roman" w:cs="Times New Roman"/>
          <w:sz w:val="24"/>
          <w:szCs w:val="24"/>
        </w:rPr>
        <w:t>(8), 2329-2337. doi:10.1519/JSC.0000000000002662</w:t>
      </w:r>
    </w:p>
    <w:p w14:paraId="037CA03F"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Chamera, T., Spieszny, M., Klocek, T., Kostrzewa-Nowak, D., Nowak, R., Lachowicz, M., Buryta, </w:t>
      </w:r>
      <w:r w:rsidRPr="00115197">
        <w:rPr>
          <w:rFonts w:ascii="Times New Roman" w:hAnsi="Times New Roman" w:cs="Times New Roman"/>
          <w:sz w:val="24"/>
          <w:szCs w:val="24"/>
        </w:rPr>
        <w:lastRenderedPageBreak/>
        <w:t xml:space="preserve">R. and Cięszczyk, P. (2014). Could biochemical liver profile help to assess metabolic response to aerobic effort in athletes? </w:t>
      </w:r>
      <w:r w:rsidRPr="00115197">
        <w:rPr>
          <w:rFonts w:ascii="Times New Roman" w:hAnsi="Times New Roman" w:cs="Times New Roman"/>
          <w:i/>
          <w:sz w:val="24"/>
          <w:szCs w:val="24"/>
        </w:rPr>
        <w:t>J Strength Cond Res, 28</w:t>
      </w:r>
      <w:r w:rsidRPr="00115197">
        <w:rPr>
          <w:rFonts w:ascii="Times New Roman" w:hAnsi="Times New Roman" w:cs="Times New Roman"/>
          <w:sz w:val="24"/>
          <w:szCs w:val="24"/>
        </w:rPr>
        <w:t>(8), 2180-2186. doi:10.1519/jsc.0000000000000398</w:t>
      </w:r>
    </w:p>
    <w:p w14:paraId="5F1C4EA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Chamera, T., Spieszny, M., Klocek, T., Kostrzewa-Nowak, D., Nowak, R., Lachowicz, M., Buryta, R., Ficek, K., Eider, J., Moska, W. and Cięszczyk, P. (2015). Post-effort changes in activity of traditional diagnostic enzymatic markers in football players' blood. </w:t>
      </w:r>
      <w:r w:rsidRPr="00115197">
        <w:rPr>
          <w:rFonts w:ascii="Times New Roman" w:hAnsi="Times New Roman" w:cs="Times New Roman"/>
          <w:i/>
          <w:sz w:val="24"/>
          <w:szCs w:val="24"/>
        </w:rPr>
        <w:t>J Med Biochem, 34</w:t>
      </w:r>
      <w:r w:rsidRPr="00115197">
        <w:rPr>
          <w:rFonts w:ascii="Times New Roman" w:hAnsi="Times New Roman" w:cs="Times New Roman"/>
          <w:sz w:val="24"/>
          <w:szCs w:val="24"/>
        </w:rPr>
        <w:t>(2), 179-190. doi:10.2478/jomb-2014-0035</w:t>
      </w:r>
    </w:p>
    <w:p w14:paraId="5C0143B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Condello, G., Kernozek, T. W., Tessitore, A. and Foster, C. (2016). Biomechanical analysis of a change-of-direction task in collegiate soccer players. </w:t>
      </w:r>
      <w:r w:rsidRPr="00115197">
        <w:rPr>
          <w:rFonts w:ascii="Times New Roman" w:hAnsi="Times New Roman" w:cs="Times New Roman"/>
          <w:i/>
          <w:sz w:val="24"/>
          <w:szCs w:val="24"/>
        </w:rPr>
        <w:t>Int J Sports Physiol Perform, 11</w:t>
      </w:r>
      <w:r w:rsidRPr="00115197">
        <w:rPr>
          <w:rFonts w:ascii="Times New Roman" w:hAnsi="Times New Roman" w:cs="Times New Roman"/>
          <w:sz w:val="24"/>
          <w:szCs w:val="24"/>
        </w:rPr>
        <w:t>(1), 96-101. doi:10.1123/ijspp.2014-0458</w:t>
      </w:r>
    </w:p>
    <w:p w14:paraId="37908DEA"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Coulomb‐Cabagno, G. and Rascle, O. (2006). Team sports players' observed aggression as a function of gender, competitive level, and sport type. </w:t>
      </w:r>
      <w:r w:rsidRPr="00115197">
        <w:rPr>
          <w:rFonts w:ascii="Times New Roman" w:hAnsi="Times New Roman" w:cs="Times New Roman"/>
          <w:i/>
          <w:sz w:val="24"/>
          <w:szCs w:val="24"/>
        </w:rPr>
        <w:t>Journal of Applied Social Psychology, 36</w:t>
      </w:r>
      <w:r w:rsidRPr="00115197">
        <w:rPr>
          <w:rFonts w:ascii="Times New Roman" w:hAnsi="Times New Roman" w:cs="Times New Roman"/>
          <w:sz w:val="24"/>
          <w:szCs w:val="24"/>
        </w:rPr>
        <w:t>(8), 1980-2000. doi:10.1111/j.0021-9029.2006.00090.x</w:t>
      </w:r>
    </w:p>
    <w:p w14:paraId="3FA12532"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De la Vega, R., Gómez, J., Vaquero-Cristobal, R., Horcajo, J. and Abenza-Cano, L. (2022). Objective comparison of achievement motivation and competitiveness among semi-professional male and female football players. </w:t>
      </w:r>
      <w:r w:rsidRPr="00115197">
        <w:rPr>
          <w:rFonts w:ascii="Times New Roman" w:hAnsi="Times New Roman" w:cs="Times New Roman"/>
          <w:i/>
          <w:sz w:val="24"/>
          <w:szCs w:val="24"/>
        </w:rPr>
        <w:t>Sustainability, 14</w:t>
      </w:r>
      <w:r w:rsidRPr="00115197">
        <w:rPr>
          <w:rFonts w:ascii="Times New Roman" w:hAnsi="Times New Roman" w:cs="Times New Roman"/>
          <w:sz w:val="24"/>
          <w:szCs w:val="24"/>
        </w:rPr>
        <w:t>(9). doi:10.3390/su14095258</w:t>
      </w:r>
    </w:p>
    <w:p w14:paraId="241CCB2E"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Dent, J. R., Edge, J. A., Hawke, E., McMahon, C. and Mündel, T. (2015). Sex differences in acute translational repressor 4E-BP1 activity and sprint performance in response to repeated-sprint exercise in team sport athletes. </w:t>
      </w:r>
      <w:r w:rsidRPr="00115197">
        <w:rPr>
          <w:rFonts w:ascii="Times New Roman" w:hAnsi="Times New Roman" w:cs="Times New Roman"/>
          <w:i/>
          <w:sz w:val="24"/>
          <w:szCs w:val="24"/>
        </w:rPr>
        <w:t>J Sci Med Sport, 18</w:t>
      </w:r>
      <w:r w:rsidRPr="00115197">
        <w:rPr>
          <w:rFonts w:ascii="Times New Roman" w:hAnsi="Times New Roman" w:cs="Times New Roman"/>
          <w:sz w:val="24"/>
          <w:szCs w:val="24"/>
        </w:rPr>
        <w:t>(6), 730-736. doi:10.1016/j.jsams.2014.10.006</w:t>
      </w:r>
    </w:p>
    <w:p w14:paraId="7FAB5948"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Devismes, M., Aeles, J., Philips, J. and Vanwanseele, B. (2019). Sprint force-velocity profiles in soccer players: impact of sex and playing level. </w:t>
      </w:r>
      <w:r w:rsidRPr="00115197">
        <w:rPr>
          <w:rFonts w:ascii="Times New Roman" w:hAnsi="Times New Roman" w:cs="Times New Roman"/>
          <w:i/>
          <w:sz w:val="24"/>
          <w:szCs w:val="24"/>
        </w:rPr>
        <w:t>Sports Biomech, 20</w:t>
      </w:r>
      <w:r w:rsidRPr="00115197">
        <w:rPr>
          <w:rFonts w:ascii="Times New Roman" w:hAnsi="Times New Roman" w:cs="Times New Roman"/>
          <w:sz w:val="24"/>
          <w:szCs w:val="24"/>
        </w:rPr>
        <w:t>(8), 947-957. doi:10.1080/14763141.2019.1618900</w:t>
      </w:r>
    </w:p>
    <w:p w14:paraId="6B8D1A7C"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Dolci, F., Kilding, A., Spiteri, T., Chivers, P., Piggott, B., Maiorana, A. and Hart, N. H. (2021). Characterising running economy and change of direction economy between soccer players of different playing positions, levels and sex. </w:t>
      </w:r>
      <w:r w:rsidRPr="00115197">
        <w:rPr>
          <w:rFonts w:ascii="Times New Roman" w:hAnsi="Times New Roman" w:cs="Times New Roman"/>
          <w:i/>
          <w:sz w:val="24"/>
          <w:szCs w:val="24"/>
        </w:rPr>
        <w:t>Eur J Sport Sci, 22</w:t>
      </w:r>
      <w:r w:rsidRPr="00115197">
        <w:rPr>
          <w:rFonts w:ascii="Times New Roman" w:hAnsi="Times New Roman" w:cs="Times New Roman"/>
          <w:sz w:val="24"/>
          <w:szCs w:val="24"/>
        </w:rPr>
        <w:t>(8), 1167-1176. doi:10.1080/17461391.2021.1953151</w:t>
      </w:r>
    </w:p>
    <w:p w14:paraId="1F3E06A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Gomez-Hixson, K., Biagioni, E. and Brown, M. L. (2020). Significant differences in dietary intake of NCAA Division III soccer players compared to recommended levels. </w:t>
      </w:r>
      <w:r w:rsidRPr="00115197">
        <w:rPr>
          <w:rFonts w:ascii="Times New Roman" w:hAnsi="Times New Roman" w:cs="Times New Roman"/>
          <w:i/>
          <w:sz w:val="24"/>
          <w:szCs w:val="24"/>
        </w:rPr>
        <w:t>J Am Coll Health, 70</w:t>
      </w:r>
      <w:r w:rsidRPr="00115197">
        <w:rPr>
          <w:rFonts w:ascii="Times New Roman" w:hAnsi="Times New Roman" w:cs="Times New Roman"/>
          <w:sz w:val="24"/>
          <w:szCs w:val="24"/>
        </w:rPr>
        <w:t>(1), 150-157. doi:10.1080/07448481.2020.1728279</w:t>
      </w:r>
    </w:p>
    <w:p w14:paraId="2991F508"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Hart, J. M., Garrison, J. C., Kerrigan, D. C., Palmieri-Smith, R. and Ingersoll, C. D. (2007). Gender differences in gluteus medius muscle activity exist in soccer players performing a forward jump. </w:t>
      </w:r>
      <w:r w:rsidRPr="00115197">
        <w:rPr>
          <w:rFonts w:ascii="Times New Roman" w:hAnsi="Times New Roman" w:cs="Times New Roman"/>
          <w:i/>
          <w:sz w:val="24"/>
          <w:szCs w:val="24"/>
        </w:rPr>
        <w:t>Res Sports Med, 15</w:t>
      </w:r>
      <w:r w:rsidRPr="00115197">
        <w:rPr>
          <w:rFonts w:ascii="Times New Roman" w:hAnsi="Times New Roman" w:cs="Times New Roman"/>
          <w:sz w:val="24"/>
          <w:szCs w:val="24"/>
        </w:rPr>
        <w:t>(2), 147-155. doi:10.1080/15438620701405289</w:t>
      </w:r>
    </w:p>
    <w:p w14:paraId="5F720EDE"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Hedt, C. A., Le, J. T., Heimdal, T., Vickery, J., Orozco, E., McCulloch, P. C. and Lambert, B. S. (2022). Sex-related anthropometrics in a lower-body mobility assessment among professional soccer athletes. </w:t>
      </w:r>
      <w:r w:rsidRPr="00115197">
        <w:rPr>
          <w:rFonts w:ascii="Times New Roman" w:hAnsi="Times New Roman" w:cs="Times New Roman"/>
          <w:i/>
          <w:sz w:val="24"/>
          <w:szCs w:val="24"/>
        </w:rPr>
        <w:t>Int J Sports Phys Ther, 17</w:t>
      </w:r>
      <w:r w:rsidRPr="00115197">
        <w:rPr>
          <w:rFonts w:ascii="Times New Roman" w:hAnsi="Times New Roman" w:cs="Times New Roman"/>
          <w:sz w:val="24"/>
          <w:szCs w:val="24"/>
        </w:rPr>
        <w:t>(3), 474-482. doi:10.26603/001c.32595</w:t>
      </w:r>
    </w:p>
    <w:p w14:paraId="35B1481F"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Hewett, T. E., Ford, K. R., Myer, G. D., Wanstrath, K. and Scheper, M. (2006). Gender differences in hip adduction motion and torque during a single-leg agility maneuver. </w:t>
      </w:r>
      <w:r w:rsidRPr="00115197">
        <w:rPr>
          <w:rFonts w:ascii="Times New Roman" w:hAnsi="Times New Roman" w:cs="Times New Roman"/>
          <w:i/>
          <w:sz w:val="24"/>
          <w:szCs w:val="24"/>
        </w:rPr>
        <w:t>J Orthop Res, 24</w:t>
      </w:r>
      <w:r w:rsidRPr="00115197">
        <w:rPr>
          <w:rFonts w:ascii="Times New Roman" w:hAnsi="Times New Roman" w:cs="Times New Roman"/>
          <w:sz w:val="24"/>
          <w:szCs w:val="24"/>
        </w:rPr>
        <w:t>(3), 416-421. doi:10.1002/jor.20056</w:t>
      </w:r>
    </w:p>
    <w:p w14:paraId="6D288F32"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Ichinose, Y., Kanehisa, H., Ito, M., Kawakami, Y. and Fukunaga, T. (1998). Morphological and functional differences in the elbow extensor muscle between highly trained male and female athletes. </w:t>
      </w:r>
      <w:r w:rsidRPr="00115197">
        <w:rPr>
          <w:rFonts w:ascii="Times New Roman" w:hAnsi="Times New Roman" w:cs="Times New Roman"/>
          <w:i/>
          <w:sz w:val="24"/>
          <w:szCs w:val="24"/>
        </w:rPr>
        <w:t>Eur J Appl Physiol Occup Physiol, 78</w:t>
      </w:r>
      <w:r w:rsidRPr="00115197">
        <w:rPr>
          <w:rFonts w:ascii="Times New Roman" w:hAnsi="Times New Roman" w:cs="Times New Roman"/>
          <w:sz w:val="24"/>
          <w:szCs w:val="24"/>
        </w:rPr>
        <w:t>(2), 109-114. doi:10.1007/s004210050394</w:t>
      </w:r>
    </w:p>
    <w:p w14:paraId="480A6B5F"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Iitake, T., Hioki, M., Takahashi, H. and Nunome, H. (2022). Sex difference in soccer instep kicking. </w:t>
      </w:r>
      <w:r w:rsidRPr="00115197">
        <w:rPr>
          <w:rFonts w:ascii="Times New Roman" w:hAnsi="Times New Roman" w:cs="Times New Roman"/>
          <w:i/>
          <w:sz w:val="24"/>
          <w:szCs w:val="24"/>
        </w:rPr>
        <w:t>J Sports Sci, 40</w:t>
      </w:r>
      <w:r w:rsidRPr="00115197">
        <w:rPr>
          <w:rFonts w:ascii="Times New Roman" w:hAnsi="Times New Roman" w:cs="Times New Roman"/>
          <w:sz w:val="24"/>
          <w:szCs w:val="24"/>
        </w:rPr>
        <w:t>(20), 2217-2224. doi:10.1080/02640414.2022.2139881</w:t>
      </w:r>
    </w:p>
    <w:p w14:paraId="52C5FF3E"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Jackson, B. C., Rogerson, C. E., Bradney, D. A., Breedlove, K. M. and Bowman, T. G. (2023). Preparedness during head impacts in intercollegiate men’s and women’s soccer athletes. </w:t>
      </w:r>
      <w:r w:rsidRPr="00115197">
        <w:rPr>
          <w:rFonts w:ascii="Times New Roman" w:hAnsi="Times New Roman" w:cs="Times New Roman"/>
          <w:i/>
          <w:sz w:val="24"/>
          <w:szCs w:val="24"/>
        </w:rPr>
        <w:lastRenderedPageBreak/>
        <w:t>Biomechanics, 3</w:t>
      </w:r>
      <w:r w:rsidRPr="00115197">
        <w:rPr>
          <w:rFonts w:ascii="Times New Roman" w:hAnsi="Times New Roman" w:cs="Times New Roman"/>
          <w:sz w:val="24"/>
          <w:szCs w:val="24"/>
        </w:rPr>
        <w:t>(1), 45-51. doi:10.3390/biomechanics3010004</w:t>
      </w:r>
    </w:p>
    <w:p w14:paraId="10DDBE4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Jastrzębski, Z. and Radzimiński, Ł. (2017). Default and individual comparison of physiological responses and time-motion analysis in male and female soccer players during small-sided games. </w:t>
      </w:r>
      <w:r w:rsidRPr="00115197">
        <w:rPr>
          <w:rFonts w:ascii="Times New Roman" w:hAnsi="Times New Roman" w:cs="Times New Roman"/>
          <w:i/>
          <w:sz w:val="24"/>
          <w:szCs w:val="24"/>
        </w:rPr>
        <w:t>J Hum Sport Exerc, 12</w:t>
      </w:r>
      <w:r w:rsidRPr="00115197">
        <w:rPr>
          <w:rFonts w:ascii="Times New Roman" w:hAnsi="Times New Roman" w:cs="Times New Roman"/>
          <w:sz w:val="24"/>
          <w:szCs w:val="24"/>
        </w:rPr>
        <w:t>(4), 1176-1185. doi:10.14198/jhse.2017.124.04</w:t>
      </w:r>
    </w:p>
    <w:p w14:paraId="25DA3C1B"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Jin, P., Ji, Z., Wang, T. and Zhu, X. (2023). Association between sports expertise and visual attention in male and female soccer players. </w:t>
      </w:r>
      <w:r w:rsidRPr="00115197">
        <w:rPr>
          <w:rFonts w:ascii="Times New Roman" w:hAnsi="Times New Roman" w:cs="Times New Roman"/>
          <w:i/>
          <w:sz w:val="24"/>
          <w:szCs w:val="24"/>
        </w:rPr>
        <w:t>PeerJ, 11</w:t>
      </w:r>
      <w:r w:rsidRPr="00115197">
        <w:rPr>
          <w:rFonts w:ascii="Times New Roman" w:hAnsi="Times New Roman" w:cs="Times New Roman"/>
          <w:sz w:val="24"/>
          <w:szCs w:val="24"/>
        </w:rPr>
        <w:t>, e16286. doi:10.7717/peerj.16286</w:t>
      </w:r>
    </w:p>
    <w:p w14:paraId="4040B12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Kanehisa, H., Muraoka, Y., Kawakami, Y. and Fukunaga, T. (2003). Fascicle arrangements of vastus lateralis and gastrocnemius muscles in highly trained soccer players and swimmers of both genders. </w:t>
      </w:r>
      <w:r w:rsidRPr="00115197">
        <w:rPr>
          <w:rFonts w:ascii="Times New Roman" w:hAnsi="Times New Roman" w:cs="Times New Roman"/>
          <w:i/>
          <w:sz w:val="24"/>
          <w:szCs w:val="24"/>
        </w:rPr>
        <w:t>Int J Sports Med, 24</w:t>
      </w:r>
      <w:r w:rsidRPr="00115197">
        <w:rPr>
          <w:rFonts w:ascii="Times New Roman" w:hAnsi="Times New Roman" w:cs="Times New Roman"/>
          <w:sz w:val="24"/>
          <w:szCs w:val="24"/>
        </w:rPr>
        <w:t>(2), 90-95. doi:10.1055/s-2003-38197</w:t>
      </w:r>
    </w:p>
    <w:p w14:paraId="0CD7DFE3"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Koikawa, N., Shimada, S., Suda, S., Murata, A. and Kasai, T. (2016). Sex differences in subjective sleep quality, sleepiness, and health-related quality of life among collegiate soccer players. </w:t>
      </w:r>
      <w:r w:rsidRPr="00115197">
        <w:rPr>
          <w:rFonts w:ascii="Times New Roman" w:hAnsi="Times New Roman" w:cs="Times New Roman"/>
          <w:i/>
          <w:sz w:val="24"/>
          <w:szCs w:val="24"/>
        </w:rPr>
        <w:t>Sleep Biol Rhythms, 14</w:t>
      </w:r>
      <w:r w:rsidRPr="00115197">
        <w:rPr>
          <w:rFonts w:ascii="Times New Roman" w:hAnsi="Times New Roman" w:cs="Times New Roman"/>
          <w:sz w:val="24"/>
          <w:szCs w:val="24"/>
        </w:rPr>
        <w:t>(4), 377-386. doi:10.1007/s41105-016-0068-4</w:t>
      </w:r>
    </w:p>
    <w:p w14:paraId="50B4B0F9"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Kostrzewa-Nowak, D., Nowak, R., Chamera, T., Buryta, R., Moska, W. and Cięszczyk, P. (2015). Post-effort chances in C-reactive protein level among soccer players at the end of the training season. </w:t>
      </w:r>
      <w:r w:rsidRPr="00115197">
        <w:rPr>
          <w:rFonts w:ascii="Times New Roman" w:hAnsi="Times New Roman" w:cs="Times New Roman"/>
          <w:i/>
          <w:sz w:val="24"/>
          <w:szCs w:val="24"/>
        </w:rPr>
        <w:t>J Strength Cond Res, 29</w:t>
      </w:r>
      <w:r w:rsidRPr="00115197">
        <w:rPr>
          <w:rFonts w:ascii="Times New Roman" w:hAnsi="Times New Roman" w:cs="Times New Roman"/>
          <w:sz w:val="24"/>
          <w:szCs w:val="24"/>
        </w:rPr>
        <w:t>(5), 1399-1405. doi:10.1519/jsc.0000000000000753</w:t>
      </w:r>
    </w:p>
    <w:p w14:paraId="3EF6326C"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Kwon, J., Nishisaka, M. M., McGrath, A. F., Kristo, A. S., Sikalidis, A. K. and Reaves, S. K. (2023). Protein intake in NCAA Division 1 soccer players: assessment of daily amounts, distribution patterns, and leucine levels as a quality indicator. </w:t>
      </w:r>
      <w:r w:rsidRPr="00115197">
        <w:rPr>
          <w:rFonts w:ascii="Times New Roman" w:hAnsi="Times New Roman" w:cs="Times New Roman"/>
          <w:i/>
          <w:sz w:val="24"/>
          <w:szCs w:val="24"/>
        </w:rPr>
        <w:t>Sports, 11</w:t>
      </w:r>
      <w:r w:rsidRPr="00115197">
        <w:rPr>
          <w:rFonts w:ascii="Times New Roman" w:hAnsi="Times New Roman" w:cs="Times New Roman"/>
          <w:sz w:val="24"/>
          <w:szCs w:val="24"/>
        </w:rPr>
        <w:t>(2). doi:10.3390/sports11020045</w:t>
      </w:r>
    </w:p>
    <w:p w14:paraId="05F93DA4"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Langdon, S., Goedhart, E., Oosterlaan, J. and Konigs, M. (2022). Heading exposure in elite football (soccer): a study in adolescent, young adult, and adult male and female players. </w:t>
      </w:r>
      <w:r w:rsidRPr="00115197">
        <w:rPr>
          <w:rFonts w:ascii="Times New Roman" w:hAnsi="Times New Roman" w:cs="Times New Roman"/>
          <w:i/>
          <w:sz w:val="24"/>
          <w:szCs w:val="24"/>
        </w:rPr>
        <w:t>Med Sci Sports Exerc, 54</w:t>
      </w:r>
      <w:r w:rsidRPr="00115197">
        <w:rPr>
          <w:rFonts w:ascii="Times New Roman" w:hAnsi="Times New Roman" w:cs="Times New Roman"/>
          <w:sz w:val="24"/>
          <w:szCs w:val="24"/>
        </w:rPr>
        <w:t>(9), 1459-1465. doi:10.1249/MSS.0000000000002945</w:t>
      </w:r>
    </w:p>
    <w:p w14:paraId="45BE7F5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López-Gajardo, M. Á., Ponce-Bordón, J. C., Rubio-Morales, A., Llanos-Muñoz, R. and Díaz-García, J. (2021). The role of perceived justice on satisfaction with the coach: gender differences in a longitudinal study. </w:t>
      </w:r>
      <w:r w:rsidRPr="00115197">
        <w:rPr>
          <w:rFonts w:ascii="Times New Roman" w:hAnsi="Times New Roman" w:cs="Times New Roman"/>
          <w:i/>
          <w:sz w:val="24"/>
          <w:szCs w:val="24"/>
        </w:rPr>
        <w:t>Sustainability, 14</w:t>
      </w:r>
      <w:r w:rsidRPr="00115197">
        <w:rPr>
          <w:rFonts w:ascii="Times New Roman" w:hAnsi="Times New Roman" w:cs="Times New Roman"/>
          <w:sz w:val="24"/>
          <w:szCs w:val="24"/>
        </w:rPr>
        <w:t>(1). doi:10.3390/su14010401</w:t>
      </w:r>
    </w:p>
    <w:p w14:paraId="3828006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Magal, M., Liette, N. C., Crowley, S. K., Hoffman, J. R. and Thomas, K. S. (2020). Sex-based performance responses to an acute sprint interval cycling training session in collegiate athletes. </w:t>
      </w:r>
      <w:r w:rsidRPr="00115197">
        <w:rPr>
          <w:rFonts w:ascii="Times New Roman" w:hAnsi="Times New Roman" w:cs="Times New Roman"/>
          <w:i/>
          <w:sz w:val="24"/>
          <w:szCs w:val="24"/>
        </w:rPr>
        <w:t>Res Q Exerc Sport, 92</w:t>
      </w:r>
      <w:r w:rsidRPr="00115197">
        <w:rPr>
          <w:rFonts w:ascii="Times New Roman" w:hAnsi="Times New Roman" w:cs="Times New Roman"/>
          <w:sz w:val="24"/>
          <w:szCs w:val="24"/>
        </w:rPr>
        <w:t>(3), 469-476. doi:10.1080/02701367.2020.1751026</w:t>
      </w:r>
    </w:p>
    <w:p w14:paraId="71A33F8F"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Makaraci, Y., Nas, K., GÜNdÜZ, K. and İLeri, M. (2024). Relationship between functional movement screen scores and postural stability in football players: an asymmetrical approach. </w:t>
      </w:r>
      <w:r w:rsidRPr="00115197">
        <w:rPr>
          <w:rFonts w:ascii="Times New Roman" w:hAnsi="Times New Roman" w:cs="Times New Roman"/>
          <w:i/>
          <w:sz w:val="24"/>
          <w:szCs w:val="24"/>
        </w:rPr>
        <w:t>Balt J Health Phys Act, 16</w:t>
      </w:r>
      <w:r w:rsidRPr="00115197">
        <w:rPr>
          <w:rFonts w:ascii="Times New Roman" w:hAnsi="Times New Roman" w:cs="Times New Roman"/>
          <w:sz w:val="24"/>
          <w:szCs w:val="24"/>
        </w:rPr>
        <w:t>(1), Article6-Article6. doi:10.29359/bjhpa.16.1.06</w:t>
      </w:r>
    </w:p>
    <w:p w14:paraId="1ECA453E"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Mascherini, G., Castizo-Olier, J., Irurtia, A., Petri, C. and Galanti, G. (2017). Differences between the sexes in athletes' body composition and lower limb bioimpedance values. </w:t>
      </w:r>
      <w:r w:rsidRPr="00115197">
        <w:rPr>
          <w:rFonts w:ascii="Times New Roman" w:hAnsi="Times New Roman" w:cs="Times New Roman"/>
          <w:i/>
          <w:sz w:val="24"/>
          <w:szCs w:val="24"/>
        </w:rPr>
        <w:t>Muscles, Ligaments Tendons J, 7</w:t>
      </w:r>
      <w:r w:rsidRPr="00115197">
        <w:rPr>
          <w:rFonts w:ascii="Times New Roman" w:hAnsi="Times New Roman" w:cs="Times New Roman"/>
          <w:sz w:val="24"/>
          <w:szCs w:val="24"/>
        </w:rPr>
        <w:t>(4), 573-581. doi:10.11138/mltj/2017.7.4.573</w:t>
      </w:r>
    </w:p>
    <w:p w14:paraId="50CF0B6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Mascherini, G., Petri, C. and Galanti, G. (2018). Link between body cellular mass and left ventricular hypertrophy in female and male athletes. </w:t>
      </w:r>
      <w:r w:rsidRPr="00115197">
        <w:rPr>
          <w:rFonts w:ascii="Times New Roman" w:hAnsi="Times New Roman" w:cs="Times New Roman"/>
          <w:i/>
          <w:sz w:val="24"/>
          <w:szCs w:val="24"/>
        </w:rPr>
        <w:t>J Sports Med Phys Fitness, 59</w:t>
      </w:r>
      <w:r w:rsidRPr="00115197">
        <w:rPr>
          <w:rFonts w:ascii="Times New Roman" w:hAnsi="Times New Roman" w:cs="Times New Roman"/>
          <w:sz w:val="24"/>
          <w:szCs w:val="24"/>
        </w:rPr>
        <w:t>(1), 164-170. doi:10.23736/S0022-4707.18.08259-2</w:t>
      </w:r>
    </w:p>
    <w:p w14:paraId="31F54AE1"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McFadden, B. A., Walker, A. J., Bozzini, B. N., Sanders, D. J. and Arent, S. M. (2020). Comparison of internal and external training loads in male and female collegiate soccer players during practices vs. games. </w:t>
      </w:r>
      <w:r w:rsidRPr="00115197">
        <w:rPr>
          <w:rFonts w:ascii="Times New Roman" w:hAnsi="Times New Roman" w:cs="Times New Roman"/>
          <w:i/>
          <w:sz w:val="24"/>
          <w:szCs w:val="24"/>
        </w:rPr>
        <w:t>J Strength Cond Res, 34</w:t>
      </w:r>
      <w:r w:rsidRPr="00115197">
        <w:rPr>
          <w:rFonts w:ascii="Times New Roman" w:hAnsi="Times New Roman" w:cs="Times New Roman"/>
          <w:sz w:val="24"/>
          <w:szCs w:val="24"/>
        </w:rPr>
        <w:t>(4), 969-974. doi:10.1519/JSC.0000000000003485</w:t>
      </w:r>
    </w:p>
    <w:p w14:paraId="2A46792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McFadden, B. A., Walker, A. J., Cintineo, H. P., Bozzini, B. N., Sanders, D. J., Chandler, A. J. and Arent, S. M. (2024). Sex differences in physiological responses to a national collegiate athletic association Division I soccer season. </w:t>
      </w:r>
      <w:r w:rsidRPr="00115197">
        <w:rPr>
          <w:rFonts w:ascii="Times New Roman" w:hAnsi="Times New Roman" w:cs="Times New Roman"/>
          <w:i/>
          <w:sz w:val="24"/>
          <w:szCs w:val="24"/>
        </w:rPr>
        <w:t>J Strength Cond Res</w:t>
      </w:r>
      <w:r w:rsidRPr="00115197">
        <w:rPr>
          <w:rFonts w:ascii="Times New Roman" w:hAnsi="Times New Roman" w:cs="Times New Roman"/>
          <w:sz w:val="24"/>
          <w:szCs w:val="24"/>
        </w:rPr>
        <w:t>. doi:10.1519/JSC.0000000000004882</w:t>
      </w:r>
    </w:p>
    <w:p w14:paraId="6CA17CD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McFarland, I. T., Dawes, J. J., Elder, C. L. and Lockie, R. G. (2016). Relationship of two vertical jumping tests to sprint and change of direction speed among male and female collegiate soccer </w:t>
      </w:r>
      <w:r w:rsidRPr="00115197">
        <w:rPr>
          <w:rFonts w:ascii="Times New Roman" w:hAnsi="Times New Roman" w:cs="Times New Roman"/>
          <w:sz w:val="24"/>
          <w:szCs w:val="24"/>
        </w:rPr>
        <w:lastRenderedPageBreak/>
        <w:t xml:space="preserve">players. </w:t>
      </w:r>
      <w:r w:rsidRPr="00115197">
        <w:rPr>
          <w:rFonts w:ascii="Times New Roman" w:hAnsi="Times New Roman" w:cs="Times New Roman"/>
          <w:i/>
          <w:sz w:val="24"/>
          <w:szCs w:val="24"/>
        </w:rPr>
        <w:t>Sports, 4</w:t>
      </w:r>
      <w:r w:rsidRPr="00115197">
        <w:rPr>
          <w:rFonts w:ascii="Times New Roman" w:hAnsi="Times New Roman" w:cs="Times New Roman"/>
          <w:sz w:val="24"/>
          <w:szCs w:val="24"/>
        </w:rPr>
        <w:t>(1). doi:10.3390/sports4010011</w:t>
      </w:r>
    </w:p>
    <w:p w14:paraId="0A402BF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Mujika, I., Santisteban, J., Impellizzeri, F. M. and Castagna, C. (2009). Fitness determinants of success in men's and women's football. </w:t>
      </w:r>
      <w:r w:rsidRPr="00115197">
        <w:rPr>
          <w:rFonts w:ascii="Times New Roman" w:hAnsi="Times New Roman" w:cs="Times New Roman"/>
          <w:i/>
          <w:sz w:val="24"/>
          <w:szCs w:val="24"/>
        </w:rPr>
        <w:t>J Sports Sci, 27</w:t>
      </w:r>
      <w:r w:rsidRPr="00115197">
        <w:rPr>
          <w:rFonts w:ascii="Times New Roman" w:hAnsi="Times New Roman" w:cs="Times New Roman"/>
          <w:sz w:val="24"/>
          <w:szCs w:val="24"/>
        </w:rPr>
        <w:t>(2), 107-114. doi:10.1080/02640410802428071</w:t>
      </w:r>
    </w:p>
    <w:p w14:paraId="5AE44C92"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Gheidi, N. and Sadeghi, H. (2010). Kinematic comparison of successful and unsuccessful instep kick in indoor soccer. </w:t>
      </w:r>
      <w:r w:rsidRPr="00115197">
        <w:rPr>
          <w:rFonts w:ascii="Times New Roman" w:hAnsi="Times New Roman" w:cs="Times New Roman"/>
          <w:i/>
          <w:sz w:val="24"/>
          <w:szCs w:val="24"/>
        </w:rPr>
        <w:t>Am J Applied Sci, 7</w:t>
      </w:r>
      <w:r w:rsidRPr="00115197">
        <w:rPr>
          <w:rFonts w:ascii="Times New Roman" w:hAnsi="Times New Roman" w:cs="Times New Roman"/>
          <w:sz w:val="24"/>
          <w:szCs w:val="24"/>
        </w:rPr>
        <w:t>(10), 1334-1340. doi:10.3844/ajassp.2010.1334.1340</w:t>
      </w:r>
    </w:p>
    <w:p w14:paraId="035A57B5"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Nagano, Y., Sasaki, S., Higashihara, A. and Ishii, H. (2016). Gender differences in trunk acceleration and related posture during shuttle run cutting. </w:t>
      </w:r>
      <w:r w:rsidRPr="00115197">
        <w:rPr>
          <w:rFonts w:ascii="Times New Roman" w:hAnsi="Times New Roman" w:cs="Times New Roman"/>
          <w:i/>
          <w:sz w:val="24"/>
          <w:szCs w:val="24"/>
        </w:rPr>
        <w:t>Int Biomech, 3</w:t>
      </w:r>
      <w:r w:rsidRPr="00115197">
        <w:rPr>
          <w:rFonts w:ascii="Times New Roman" w:hAnsi="Times New Roman" w:cs="Times New Roman"/>
          <w:sz w:val="24"/>
          <w:szCs w:val="24"/>
        </w:rPr>
        <w:t>(1), 33-39. doi:10.1080/23335432.2016.1191372</w:t>
      </w:r>
    </w:p>
    <w:p w14:paraId="3BE365F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Navandar, A., Kipp, K. and Navarro, E. (2022). Hip and knee joint angle patterns and kicking velocity in female and male professional soccer players: a principal component analysis of waveforms approach. </w:t>
      </w:r>
      <w:r w:rsidRPr="00115197">
        <w:rPr>
          <w:rFonts w:ascii="Times New Roman" w:hAnsi="Times New Roman" w:cs="Times New Roman"/>
          <w:i/>
          <w:sz w:val="24"/>
          <w:szCs w:val="24"/>
        </w:rPr>
        <w:t>J Sports Sci, 40</w:t>
      </w:r>
      <w:r w:rsidRPr="00115197">
        <w:rPr>
          <w:rFonts w:ascii="Times New Roman" w:hAnsi="Times New Roman" w:cs="Times New Roman"/>
          <w:sz w:val="24"/>
          <w:szCs w:val="24"/>
        </w:rPr>
        <w:t>(17), 1919-1930. doi:10.1080/02640414.2022.2121022</w:t>
      </w:r>
    </w:p>
    <w:p w14:paraId="1DCC6D55"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Nelson, K. M., Daidone, E. H. K., Breedlove, K. M., Bradney, D. A. and Bowman, T. G. (2020). Head impact characteristics based on player position in collegiate soccer athletes. </w:t>
      </w:r>
      <w:r w:rsidRPr="00115197">
        <w:rPr>
          <w:rFonts w:ascii="Times New Roman" w:hAnsi="Times New Roman" w:cs="Times New Roman"/>
          <w:i/>
          <w:sz w:val="24"/>
          <w:szCs w:val="24"/>
        </w:rPr>
        <w:t>Int J Athl Ther Trai, 26</w:t>
      </w:r>
      <w:r w:rsidRPr="00115197">
        <w:rPr>
          <w:rFonts w:ascii="Times New Roman" w:hAnsi="Times New Roman" w:cs="Times New Roman"/>
          <w:sz w:val="24"/>
          <w:szCs w:val="24"/>
        </w:rPr>
        <w:t>(2), 111-115. doi:10.1123/ijatt.2019-0095</w:t>
      </w:r>
    </w:p>
    <w:p w14:paraId="468B283A"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Orloff, H., Sumida, B., Chow, J., Habibi, L., Fujino, A. and Kramer, B. (2008). Ground reaction forces and kinematics of plant leg position during instep kicking in male and female collegiate soccer players. </w:t>
      </w:r>
      <w:r w:rsidRPr="00115197">
        <w:rPr>
          <w:rFonts w:ascii="Times New Roman" w:hAnsi="Times New Roman" w:cs="Times New Roman"/>
          <w:i/>
          <w:sz w:val="24"/>
          <w:szCs w:val="24"/>
        </w:rPr>
        <w:t>Sports Biomech, 7</w:t>
      </w:r>
      <w:r w:rsidRPr="00115197">
        <w:rPr>
          <w:rFonts w:ascii="Times New Roman" w:hAnsi="Times New Roman" w:cs="Times New Roman"/>
          <w:sz w:val="24"/>
          <w:szCs w:val="24"/>
        </w:rPr>
        <w:t>(2), 238-247. doi:10.1080/14763140701841704</w:t>
      </w:r>
    </w:p>
    <w:p w14:paraId="63930472"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Pappalardo, L., Rossi, A., Natilli, M. and Cintia, P. (2021). Explaining the difference between men's and women's football. </w:t>
      </w:r>
      <w:r w:rsidRPr="00115197">
        <w:rPr>
          <w:rFonts w:ascii="Times New Roman" w:hAnsi="Times New Roman" w:cs="Times New Roman"/>
          <w:i/>
          <w:sz w:val="24"/>
          <w:szCs w:val="24"/>
        </w:rPr>
        <w:t>PLoS one, 16</w:t>
      </w:r>
      <w:r w:rsidRPr="00115197">
        <w:rPr>
          <w:rFonts w:ascii="Times New Roman" w:hAnsi="Times New Roman" w:cs="Times New Roman"/>
          <w:sz w:val="24"/>
          <w:szCs w:val="24"/>
        </w:rPr>
        <w:t>(8), e0255407. doi:10.1371/journal.pone.0255407</w:t>
      </w:r>
    </w:p>
    <w:p w14:paraId="1A1E7F47"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Peek, K., Georgieva, J., Serner, A. and Orest, F. (2024). Differences in the technical performance of heading between men and women football players during FIFA World Cup 2022 and FIFA Women's World Cup 2023 matches. </w:t>
      </w:r>
      <w:r w:rsidRPr="00115197">
        <w:rPr>
          <w:rFonts w:ascii="Times New Roman" w:hAnsi="Times New Roman" w:cs="Times New Roman"/>
          <w:i/>
          <w:sz w:val="24"/>
          <w:szCs w:val="24"/>
        </w:rPr>
        <w:t>BMJ Open Sport Exerc Med, 10</w:t>
      </w:r>
      <w:r w:rsidRPr="00115197">
        <w:rPr>
          <w:rFonts w:ascii="Times New Roman" w:hAnsi="Times New Roman" w:cs="Times New Roman"/>
          <w:sz w:val="24"/>
          <w:szCs w:val="24"/>
        </w:rPr>
        <w:t>(3), e002066. doi:10.1136/bmjsem-2024-002066</w:t>
      </w:r>
    </w:p>
    <w:p w14:paraId="1F0595EB"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Petri, C., Campa, F., Holway, F., Pengue, L. and Arrones, L. S. (2024a). ISAK-based anthropometric standards for elite male and female soccer players. </w:t>
      </w:r>
      <w:r w:rsidRPr="00115197">
        <w:rPr>
          <w:rFonts w:ascii="Times New Roman" w:hAnsi="Times New Roman" w:cs="Times New Roman"/>
          <w:i/>
          <w:sz w:val="24"/>
          <w:szCs w:val="24"/>
        </w:rPr>
        <w:t>Sports, 12</w:t>
      </w:r>
      <w:r w:rsidRPr="00115197">
        <w:rPr>
          <w:rFonts w:ascii="Times New Roman" w:hAnsi="Times New Roman" w:cs="Times New Roman"/>
          <w:sz w:val="24"/>
          <w:szCs w:val="24"/>
        </w:rPr>
        <w:t>(3). doi:10.3390/sports12030069</w:t>
      </w:r>
    </w:p>
    <w:p w14:paraId="34552B05"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Petri, C., Pengue, L., Bartolini, A., Pistolesi, D. and Arrones, L. S. (2024b). Body composition changes in male and female elite soccer players: effects of a nutritional program led by a sport nutritionist. </w:t>
      </w:r>
      <w:r w:rsidRPr="00115197">
        <w:rPr>
          <w:rFonts w:ascii="Times New Roman" w:hAnsi="Times New Roman" w:cs="Times New Roman"/>
          <w:i/>
          <w:sz w:val="24"/>
          <w:szCs w:val="24"/>
        </w:rPr>
        <w:t>Nutrients, 16</w:t>
      </w:r>
      <w:r w:rsidRPr="00115197">
        <w:rPr>
          <w:rFonts w:ascii="Times New Roman" w:hAnsi="Times New Roman" w:cs="Times New Roman"/>
          <w:sz w:val="24"/>
          <w:szCs w:val="24"/>
        </w:rPr>
        <w:t>(3). doi:10.3390/nu16030334</w:t>
      </w:r>
    </w:p>
    <w:p w14:paraId="42601FB4"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Putukian, M., Echemendia, R. J. and Mackin, S. (2000). The acute neuropsychological effects of heading in soccer: a pilot study. </w:t>
      </w:r>
      <w:r w:rsidRPr="00115197">
        <w:rPr>
          <w:rFonts w:ascii="Times New Roman" w:hAnsi="Times New Roman" w:cs="Times New Roman"/>
          <w:i/>
          <w:sz w:val="24"/>
          <w:szCs w:val="24"/>
        </w:rPr>
        <w:t>Clin J Sport Med, 10</w:t>
      </w:r>
      <w:r w:rsidRPr="00115197">
        <w:rPr>
          <w:rFonts w:ascii="Times New Roman" w:hAnsi="Times New Roman" w:cs="Times New Roman"/>
          <w:sz w:val="24"/>
          <w:szCs w:val="24"/>
        </w:rPr>
        <w:t>(2), 104-109. doi:10.1097/00042752-200004000-00004</w:t>
      </w:r>
    </w:p>
    <w:p w14:paraId="7CAD21C4"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Reynolds, B. B., Patrie, J., Henry, E. J., Goodkin, H. P., Broshek, D. K., Wintermark, M. and Druzgal, T. J. (2017). Effects of sex and event type on head impact in collegiate soccer. </w:t>
      </w:r>
      <w:r w:rsidRPr="00115197">
        <w:rPr>
          <w:rFonts w:ascii="Times New Roman" w:hAnsi="Times New Roman" w:cs="Times New Roman"/>
          <w:i/>
          <w:sz w:val="24"/>
          <w:szCs w:val="24"/>
        </w:rPr>
        <w:t>Orthop J Sports Med, 5</w:t>
      </w:r>
      <w:r w:rsidRPr="00115197">
        <w:rPr>
          <w:rFonts w:ascii="Times New Roman" w:hAnsi="Times New Roman" w:cs="Times New Roman"/>
          <w:sz w:val="24"/>
          <w:szCs w:val="24"/>
        </w:rPr>
        <w:t>(4), 2325967117701708. doi:10.1177/2325967117701708</w:t>
      </w:r>
    </w:p>
    <w:p w14:paraId="18F55331"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Robles-Gil, M. C., Toro-Roman, V., Maynar-Marino, M., Siquier-Coll, J., Bartolome, I. and Grijota, F. J. (2023). Aluminum concentrations in male and female football players during the season. </w:t>
      </w:r>
      <w:r w:rsidRPr="00115197">
        <w:rPr>
          <w:rFonts w:ascii="Times New Roman" w:hAnsi="Times New Roman" w:cs="Times New Roman"/>
          <w:i/>
          <w:sz w:val="24"/>
          <w:szCs w:val="24"/>
        </w:rPr>
        <w:t>Toxics, 11</w:t>
      </w:r>
      <w:r w:rsidRPr="00115197">
        <w:rPr>
          <w:rFonts w:ascii="Times New Roman" w:hAnsi="Times New Roman" w:cs="Times New Roman"/>
          <w:sz w:val="24"/>
          <w:szCs w:val="24"/>
        </w:rPr>
        <w:t>(11). doi:10.3390/toxics11110920</w:t>
      </w:r>
    </w:p>
    <w:p w14:paraId="1685435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Rodas, G., Ferrer, E., Reche, X., Sanjuan-Herraez, J. D., McCall, A. and Quintas, G. (2022). A targeted metabolic analysis of football players and its association to player load: comparison between women and men profiles. </w:t>
      </w:r>
      <w:r w:rsidRPr="00115197">
        <w:rPr>
          <w:rFonts w:ascii="Times New Roman" w:hAnsi="Times New Roman" w:cs="Times New Roman"/>
          <w:i/>
          <w:sz w:val="24"/>
          <w:szCs w:val="24"/>
        </w:rPr>
        <w:t>Front Physiol, 13</w:t>
      </w:r>
      <w:r w:rsidRPr="00115197">
        <w:rPr>
          <w:rFonts w:ascii="Times New Roman" w:hAnsi="Times New Roman" w:cs="Times New Roman"/>
          <w:sz w:val="24"/>
          <w:szCs w:val="24"/>
        </w:rPr>
        <w:t>, 923608. doi:10.3389/fphys.2022.923608</w:t>
      </w:r>
    </w:p>
    <w:p w14:paraId="117601FB"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Ros, A. G., Holm, S. E., Fridén, C. and Heijne, A. I. (2013). Responsiveness of the one-leg hop test and the square hop test to fatiguing intermittent aerobic work and subsequent recovery. </w:t>
      </w:r>
      <w:r w:rsidRPr="00115197">
        <w:rPr>
          <w:rFonts w:ascii="Times New Roman" w:hAnsi="Times New Roman" w:cs="Times New Roman"/>
          <w:i/>
          <w:sz w:val="24"/>
          <w:szCs w:val="24"/>
        </w:rPr>
        <w:t>J Strength Cond Res, 27</w:t>
      </w:r>
      <w:r w:rsidRPr="00115197">
        <w:rPr>
          <w:rFonts w:ascii="Times New Roman" w:hAnsi="Times New Roman" w:cs="Times New Roman"/>
          <w:sz w:val="24"/>
          <w:szCs w:val="24"/>
        </w:rPr>
        <w:t>(4), 988-994. doi:10.1519/JSC.0b013e31825feb5b</w:t>
      </w:r>
    </w:p>
    <w:p w14:paraId="7736C0B0"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Sakamoto, K. and Asai, T. (2013). Comparison of kicking motion characteristics at ball impact </w:t>
      </w:r>
      <w:r w:rsidRPr="00115197">
        <w:rPr>
          <w:rFonts w:ascii="Times New Roman" w:hAnsi="Times New Roman" w:cs="Times New Roman"/>
          <w:sz w:val="24"/>
          <w:szCs w:val="24"/>
        </w:rPr>
        <w:lastRenderedPageBreak/>
        <w:t xml:space="preserve">between female and male soccer players. </w:t>
      </w:r>
      <w:r w:rsidRPr="00115197">
        <w:rPr>
          <w:rFonts w:ascii="Times New Roman" w:hAnsi="Times New Roman" w:cs="Times New Roman"/>
          <w:i/>
          <w:sz w:val="24"/>
          <w:szCs w:val="24"/>
        </w:rPr>
        <w:t>Int J Sports Sci Coa, 8</w:t>
      </w:r>
      <w:r w:rsidRPr="00115197">
        <w:rPr>
          <w:rFonts w:ascii="Times New Roman" w:hAnsi="Times New Roman" w:cs="Times New Roman"/>
          <w:sz w:val="24"/>
          <w:szCs w:val="24"/>
        </w:rPr>
        <w:t>(1), 63-76. doi:10.1260/1747-9541.8.1.63</w:t>
      </w:r>
    </w:p>
    <w:p w14:paraId="0A8B1D39" w14:textId="029DC600"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Sanders, G. J., Turner, Z., Boos, B., Peacock, C. A., Peveler, W. and Lipping, A. (2017). Aerobic capacity is related to repeated sprint ability with sprint distances less than 40 meters. </w:t>
      </w:r>
      <w:r w:rsidRPr="00115197">
        <w:rPr>
          <w:rFonts w:ascii="Times New Roman" w:hAnsi="Times New Roman" w:cs="Times New Roman"/>
          <w:i/>
          <w:sz w:val="24"/>
          <w:szCs w:val="24"/>
        </w:rPr>
        <w:t>Int J Exerc Sci, 10</w:t>
      </w:r>
      <w:r w:rsidRPr="00115197">
        <w:rPr>
          <w:rFonts w:ascii="Times New Roman" w:hAnsi="Times New Roman" w:cs="Times New Roman"/>
          <w:sz w:val="24"/>
          <w:szCs w:val="24"/>
        </w:rPr>
        <w:t>(2), 197-204.</w:t>
      </w:r>
      <w:r w:rsidR="00214292">
        <w:rPr>
          <w:rFonts w:ascii="Times New Roman" w:hAnsi="Times New Roman" w:cs="Times New Roman" w:hint="eastAsia"/>
          <w:sz w:val="24"/>
          <w:szCs w:val="24"/>
        </w:rPr>
        <w:t xml:space="preserve"> doi:</w:t>
      </w:r>
      <w:r w:rsidR="00214292" w:rsidRPr="00214292">
        <w:rPr>
          <w:rFonts w:ascii="Times New Roman" w:hAnsi="Times New Roman" w:cs="Times New Roman" w:hint="eastAsia"/>
          <w:sz w:val="24"/>
          <w:szCs w:val="24"/>
        </w:rPr>
        <w:t xml:space="preserve"> 10.70252/gcdn2088</w:t>
      </w:r>
    </w:p>
    <w:p w14:paraId="15ECBBCC"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Sansonio de Morais, A., Ferreira, G. A., Lima-Silva, A. E. and Gomes Filho, A. (2018). Gender-related cardiac dimension differences between female and male professional soccer players. </w:t>
      </w:r>
      <w:r w:rsidRPr="00115197">
        <w:rPr>
          <w:rFonts w:ascii="Times New Roman" w:hAnsi="Times New Roman" w:cs="Times New Roman"/>
          <w:i/>
          <w:sz w:val="24"/>
          <w:szCs w:val="24"/>
        </w:rPr>
        <w:t>J Sports Med Phys Fitness, 58</w:t>
      </w:r>
      <w:r w:rsidRPr="00115197">
        <w:rPr>
          <w:rFonts w:ascii="Times New Roman" w:hAnsi="Times New Roman" w:cs="Times New Roman"/>
          <w:sz w:val="24"/>
          <w:szCs w:val="24"/>
        </w:rPr>
        <w:t>(9), 1354-1359. doi:10.23736/S0022-4707.17.07422-9</w:t>
      </w:r>
    </w:p>
    <w:p w14:paraId="35ED3B68"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Saunders, T. D., Le, R. K., Breedlove, K. M., Bradney, D. A. and Bowman, T. G. (2020). Sex differences in mechanisms of head impacts in collegiate soccer athletes. </w:t>
      </w:r>
      <w:r w:rsidRPr="00115197">
        <w:rPr>
          <w:rFonts w:ascii="Times New Roman" w:hAnsi="Times New Roman" w:cs="Times New Roman"/>
          <w:i/>
          <w:sz w:val="24"/>
          <w:szCs w:val="24"/>
        </w:rPr>
        <w:t>Clin Biomech, 74</w:t>
      </w:r>
      <w:r w:rsidRPr="00115197">
        <w:rPr>
          <w:rFonts w:ascii="Times New Roman" w:hAnsi="Times New Roman" w:cs="Times New Roman"/>
          <w:sz w:val="24"/>
          <w:szCs w:val="24"/>
        </w:rPr>
        <w:t>, 14-20. doi:10.1016/j.clinbiomech.2020.02.003</w:t>
      </w:r>
    </w:p>
    <w:p w14:paraId="690CC465"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Schons, P., Birk Preissler, A. A., Oliveira, R., Brito, J. P., Clemente, F. M., Droescher de Vargas, G., Moraes Klein, L. and Kruel, L. F. M. (2022). Comparisons and correlations between the anthropometric profile and physical performance of professional female and male soccer players: Individualities that should be considered in training. </w:t>
      </w:r>
      <w:r w:rsidRPr="00115197">
        <w:rPr>
          <w:rFonts w:ascii="Times New Roman" w:hAnsi="Times New Roman" w:cs="Times New Roman"/>
          <w:i/>
          <w:sz w:val="24"/>
          <w:szCs w:val="24"/>
        </w:rPr>
        <w:t>Int J Sports Sci Coa, 18</w:t>
      </w:r>
      <w:r w:rsidRPr="00115197">
        <w:rPr>
          <w:rFonts w:ascii="Times New Roman" w:hAnsi="Times New Roman" w:cs="Times New Roman"/>
          <w:sz w:val="24"/>
          <w:szCs w:val="24"/>
        </w:rPr>
        <w:t>(6), 2004-2014. doi:10.1177/17479541221131649</w:t>
      </w:r>
    </w:p>
    <w:p w14:paraId="29D738B3"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Sebastia-Rico, J., Soriano, J. M., Sanchis-Chorda, J., Garcia-Fernandez, A. F., Lopez-Mateu, P., de la Cruz Marcos, S. and Martinez-Sanz, J. M. (2024). Analysis of fluid balance and urine values in elite soccer players: impact of different environments, playing positions, sexes, and competitive levels. </w:t>
      </w:r>
      <w:r w:rsidRPr="00115197">
        <w:rPr>
          <w:rFonts w:ascii="Times New Roman" w:hAnsi="Times New Roman" w:cs="Times New Roman"/>
          <w:i/>
          <w:sz w:val="24"/>
          <w:szCs w:val="24"/>
        </w:rPr>
        <w:t>Nutrients, 16</w:t>
      </w:r>
      <w:r w:rsidRPr="00115197">
        <w:rPr>
          <w:rFonts w:ascii="Times New Roman" w:hAnsi="Times New Roman" w:cs="Times New Roman"/>
          <w:sz w:val="24"/>
          <w:szCs w:val="24"/>
        </w:rPr>
        <w:t>(6). doi:10.3390/nu16060903</w:t>
      </w:r>
    </w:p>
    <w:p w14:paraId="40A6F4FB"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Siegle, M. and Lames, M. (2012). Influences on frequency and duration of game stoppages during soccer. </w:t>
      </w:r>
      <w:r w:rsidRPr="00115197">
        <w:rPr>
          <w:rFonts w:ascii="Times New Roman" w:hAnsi="Times New Roman" w:cs="Times New Roman"/>
          <w:i/>
          <w:sz w:val="24"/>
          <w:szCs w:val="24"/>
        </w:rPr>
        <w:t>Int J Perform Anal Spor, 12</w:t>
      </w:r>
      <w:r w:rsidRPr="00115197">
        <w:rPr>
          <w:rFonts w:ascii="Times New Roman" w:hAnsi="Times New Roman" w:cs="Times New Roman"/>
          <w:sz w:val="24"/>
          <w:szCs w:val="24"/>
        </w:rPr>
        <w:t>(1), 101-111. doi:10.1080/24748668.2012.11868586</w:t>
      </w:r>
    </w:p>
    <w:p w14:paraId="601125BC"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Souglis, A., Bogdanis, G. C., Chryssanthopoulos, C., Apostolidis, N. and Geladas, N. D. (2018). Time course of oxidative stress, inflammation, and muscle damage markers for 5 days after a soccer match: effects of sex and playing position. </w:t>
      </w:r>
      <w:r w:rsidRPr="00115197">
        <w:rPr>
          <w:rFonts w:ascii="Times New Roman" w:hAnsi="Times New Roman" w:cs="Times New Roman"/>
          <w:i/>
          <w:sz w:val="24"/>
          <w:szCs w:val="24"/>
        </w:rPr>
        <w:t>J Strength Cond Res, 32</w:t>
      </w:r>
      <w:r w:rsidRPr="00115197">
        <w:rPr>
          <w:rFonts w:ascii="Times New Roman" w:hAnsi="Times New Roman" w:cs="Times New Roman"/>
          <w:sz w:val="24"/>
          <w:szCs w:val="24"/>
        </w:rPr>
        <w:t>(7), 2045-2054. doi:10.1519/JSC.0000000000002436</w:t>
      </w:r>
    </w:p>
    <w:p w14:paraId="0CE1945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Souglis, A., Papapanagiotou, A., Bogdanis, G. C., Travlos, A. K., Apostolidis, N. G. and Geladas, N. D. (2015). Comparison of inflammatory responses to a soccer match between elite male and female players. </w:t>
      </w:r>
      <w:r w:rsidRPr="00115197">
        <w:rPr>
          <w:rFonts w:ascii="Times New Roman" w:hAnsi="Times New Roman" w:cs="Times New Roman"/>
          <w:i/>
          <w:sz w:val="24"/>
          <w:szCs w:val="24"/>
        </w:rPr>
        <w:t>J Strength Cond Res, 29</w:t>
      </w:r>
      <w:r w:rsidRPr="00115197">
        <w:rPr>
          <w:rFonts w:ascii="Times New Roman" w:hAnsi="Times New Roman" w:cs="Times New Roman"/>
          <w:sz w:val="24"/>
          <w:szCs w:val="24"/>
        </w:rPr>
        <w:t>(5), 1227-1233. doi:10.1519/jsc.0000000000000767</w:t>
      </w:r>
    </w:p>
    <w:p w14:paraId="450558F3"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Steding, K., Engblom, H., Buhre, T., Carlsson, M., Mosén, H., Wohlfart, B. and Arheden, H. (2010). Relation between cardiac dimensions and peak oxygen uptake. </w:t>
      </w:r>
      <w:r w:rsidRPr="00115197">
        <w:rPr>
          <w:rFonts w:ascii="Times New Roman" w:hAnsi="Times New Roman" w:cs="Times New Roman"/>
          <w:i/>
          <w:sz w:val="24"/>
          <w:szCs w:val="24"/>
        </w:rPr>
        <w:t>J Cardiovasc Magn Reson, 12</w:t>
      </w:r>
      <w:r w:rsidRPr="00115197">
        <w:rPr>
          <w:rFonts w:ascii="Times New Roman" w:hAnsi="Times New Roman" w:cs="Times New Roman"/>
          <w:sz w:val="24"/>
          <w:szCs w:val="24"/>
        </w:rPr>
        <w:t>(1), 8. doi:10.1186/1532-429X-12-8</w:t>
      </w:r>
    </w:p>
    <w:p w14:paraId="79323FB6"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Suchomel, T. J., Sole, C. J., Bailey, C. A., Grazer, J. L. and Beckham, G. K. (2015). A comparison of reactive strength index-modified between six U.S. collegiate athletic teams. </w:t>
      </w:r>
      <w:r w:rsidRPr="00115197">
        <w:rPr>
          <w:rFonts w:ascii="Times New Roman" w:hAnsi="Times New Roman" w:cs="Times New Roman"/>
          <w:i/>
          <w:sz w:val="24"/>
          <w:szCs w:val="24"/>
        </w:rPr>
        <w:t>J Strength Cond Res, 29</w:t>
      </w:r>
      <w:r w:rsidRPr="00115197">
        <w:rPr>
          <w:rFonts w:ascii="Times New Roman" w:hAnsi="Times New Roman" w:cs="Times New Roman"/>
          <w:sz w:val="24"/>
          <w:szCs w:val="24"/>
        </w:rPr>
        <w:t>(5), 1310-1316. doi:10.1519/jsc.0000000000000761</w:t>
      </w:r>
    </w:p>
    <w:p w14:paraId="17C3165E"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Suchomel, T. J., Sole, C. J. and Stone, M. H. (2016). Comparison of methods that assess lower-body stretch-shortening cycle utilization. </w:t>
      </w:r>
      <w:r w:rsidRPr="00115197">
        <w:rPr>
          <w:rFonts w:ascii="Times New Roman" w:hAnsi="Times New Roman" w:cs="Times New Roman"/>
          <w:i/>
          <w:sz w:val="24"/>
          <w:szCs w:val="24"/>
        </w:rPr>
        <w:t>J Strength Cond Res, 30</w:t>
      </w:r>
      <w:r w:rsidRPr="00115197">
        <w:rPr>
          <w:rFonts w:ascii="Times New Roman" w:hAnsi="Times New Roman" w:cs="Times New Roman"/>
          <w:sz w:val="24"/>
          <w:szCs w:val="24"/>
        </w:rPr>
        <w:t>(2), 547-554. doi:10.1519/jsc.0000000000001100</w:t>
      </w:r>
    </w:p>
    <w:p w14:paraId="323DC155"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Tornero-Aguilera, J. F., Villegas-Mora, B. E. and Clemente-Suarez, V. J. (2022). Differences in body composition analysis by DEXA, skinfold and BIA methods in young football players. </w:t>
      </w:r>
      <w:r w:rsidRPr="00115197">
        <w:rPr>
          <w:rFonts w:ascii="Times New Roman" w:hAnsi="Times New Roman" w:cs="Times New Roman"/>
          <w:i/>
          <w:sz w:val="24"/>
          <w:szCs w:val="24"/>
        </w:rPr>
        <w:t>Children, 9</w:t>
      </w:r>
      <w:r w:rsidRPr="00115197">
        <w:rPr>
          <w:rFonts w:ascii="Times New Roman" w:hAnsi="Times New Roman" w:cs="Times New Roman"/>
          <w:sz w:val="24"/>
          <w:szCs w:val="24"/>
        </w:rPr>
        <w:t>(11). doi:10.3390/children9111643</w:t>
      </w:r>
    </w:p>
    <w:p w14:paraId="062EA1AA"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Grijota, F. J., Muñoz, D., Maynar-Mariño, M., Clemente-Gil, S. and Robles-Gil, M. C. (2023a). Anthropometry, body composition, and physical fitness in semi-professional soccer players: differences between sexes and playing position. </w:t>
      </w:r>
      <w:r w:rsidRPr="00115197">
        <w:rPr>
          <w:rFonts w:ascii="Times New Roman" w:hAnsi="Times New Roman" w:cs="Times New Roman"/>
          <w:i/>
          <w:sz w:val="24"/>
          <w:szCs w:val="24"/>
        </w:rPr>
        <w:t>Applied Sciences, 13</w:t>
      </w:r>
      <w:r w:rsidRPr="00115197">
        <w:rPr>
          <w:rFonts w:ascii="Times New Roman" w:hAnsi="Times New Roman" w:cs="Times New Roman"/>
          <w:sz w:val="24"/>
          <w:szCs w:val="24"/>
        </w:rPr>
        <w:t>(3). doi:10.3390/app13031249</w:t>
      </w:r>
    </w:p>
    <w:p w14:paraId="45FCAAAF"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Munoz, D., Maynar-Marino, M., Clemente-Gil, S. and Robles-Gil, M. C. (2023b). </w:t>
      </w:r>
      <w:r w:rsidRPr="00115197">
        <w:rPr>
          <w:rFonts w:ascii="Times New Roman" w:hAnsi="Times New Roman" w:cs="Times New Roman"/>
          <w:sz w:val="24"/>
          <w:szCs w:val="24"/>
        </w:rPr>
        <w:lastRenderedPageBreak/>
        <w:t xml:space="preserve">Sex differences in copper concentrations during a sports season in soccer players. </w:t>
      </w:r>
      <w:r w:rsidRPr="00115197">
        <w:rPr>
          <w:rFonts w:ascii="Times New Roman" w:hAnsi="Times New Roman" w:cs="Times New Roman"/>
          <w:i/>
          <w:sz w:val="24"/>
          <w:szCs w:val="24"/>
        </w:rPr>
        <w:t>Nutrients, 15</w:t>
      </w:r>
      <w:r w:rsidRPr="00115197">
        <w:rPr>
          <w:rFonts w:ascii="Times New Roman" w:hAnsi="Times New Roman" w:cs="Times New Roman"/>
          <w:sz w:val="24"/>
          <w:szCs w:val="24"/>
        </w:rPr>
        <w:t>(3). doi:10.3390/nu15030495</w:t>
      </w:r>
    </w:p>
    <w:p w14:paraId="092CD0B2"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Robles-Gil, M. C., Munoz, D., Bartolome, I., Grijota, F. J. and Maynar-Marino, M. (2023c). Sex differences in cadmium and lead concentrations in different biological matrices in athletes. Relationship with iron status. </w:t>
      </w:r>
      <w:r w:rsidRPr="00115197">
        <w:rPr>
          <w:rFonts w:ascii="Times New Roman" w:hAnsi="Times New Roman" w:cs="Times New Roman"/>
          <w:i/>
          <w:sz w:val="24"/>
          <w:szCs w:val="24"/>
        </w:rPr>
        <w:t>Environ Toxicol Pharmacol, 99</w:t>
      </w:r>
      <w:r w:rsidRPr="00115197">
        <w:rPr>
          <w:rFonts w:ascii="Times New Roman" w:hAnsi="Times New Roman" w:cs="Times New Roman"/>
          <w:sz w:val="24"/>
          <w:szCs w:val="24"/>
        </w:rPr>
        <w:t>, 104107. doi:10.1016/j.etap.2023.104107</w:t>
      </w:r>
    </w:p>
    <w:p w14:paraId="174EFD54"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Robles-Gil, M. C., Munoz, D., Bartolome, I., Siquier-Coll, J. and Maynar-Marino, M. (2022). Extracellular and Intracellular concentrations of molybdenum and zinc in soccer players: sex differences. </w:t>
      </w:r>
      <w:r w:rsidRPr="00115197">
        <w:rPr>
          <w:rFonts w:ascii="Times New Roman" w:hAnsi="Times New Roman" w:cs="Times New Roman"/>
          <w:i/>
          <w:sz w:val="24"/>
          <w:szCs w:val="24"/>
        </w:rPr>
        <w:t>Biology, 11</w:t>
      </w:r>
      <w:r w:rsidRPr="00115197">
        <w:rPr>
          <w:rFonts w:ascii="Times New Roman" w:hAnsi="Times New Roman" w:cs="Times New Roman"/>
          <w:sz w:val="24"/>
          <w:szCs w:val="24"/>
        </w:rPr>
        <w:t>(12). doi:10.3390/biology11121710</w:t>
      </w:r>
    </w:p>
    <w:p w14:paraId="4C594FFD"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Siquier-Coll, J., Grijota Perez, F. J., Maynar-Marino, M., Bartolome-Sanchez, I. and Robles-Gil, M. C. (2024). Plasma, urinary, erythrocyte and platelet zinc concentrations in soccer players. </w:t>
      </w:r>
      <w:r w:rsidRPr="00115197">
        <w:rPr>
          <w:rFonts w:ascii="Times New Roman" w:hAnsi="Times New Roman" w:cs="Times New Roman"/>
          <w:i/>
          <w:sz w:val="24"/>
          <w:szCs w:val="24"/>
        </w:rPr>
        <w:t>Nutrients, 16</w:t>
      </w:r>
      <w:r w:rsidRPr="00115197">
        <w:rPr>
          <w:rFonts w:ascii="Times New Roman" w:hAnsi="Times New Roman" w:cs="Times New Roman"/>
          <w:sz w:val="24"/>
          <w:szCs w:val="24"/>
        </w:rPr>
        <w:t>(16). doi:10.3390/nu16162789</w:t>
      </w:r>
    </w:p>
    <w:p w14:paraId="195E79E6" w14:textId="77777777" w:rsidR="005D549F" w:rsidRPr="00115197"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Yilmaz, E., Aydin, T., Kiliç, S. and Toluk, Ö. (2023). Bilateral knee joint isokinetic muscle strength and angle specific balance ratio in soccer players. </w:t>
      </w:r>
      <w:r w:rsidRPr="00115197">
        <w:rPr>
          <w:rFonts w:ascii="Times New Roman" w:hAnsi="Times New Roman" w:cs="Times New Roman"/>
          <w:i/>
          <w:sz w:val="24"/>
          <w:szCs w:val="24"/>
        </w:rPr>
        <w:t>Dtsch Z Sportmed, 74</w:t>
      </w:r>
      <w:r w:rsidRPr="00115197">
        <w:rPr>
          <w:rFonts w:ascii="Times New Roman" w:hAnsi="Times New Roman" w:cs="Times New Roman"/>
          <w:sz w:val="24"/>
          <w:szCs w:val="24"/>
        </w:rPr>
        <w:t>(7), 234-241. doi:10.5960/dzsm.2023.580</w:t>
      </w:r>
    </w:p>
    <w:p w14:paraId="08E41F33" w14:textId="263CFB44" w:rsidR="00B370B0" w:rsidRPr="005D549F" w:rsidRDefault="005D549F" w:rsidP="005D549F">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Zebis, M. K., Andersen, L. s. L., Ellingsgaard, H. and Aagaard, P. (2011). Rapid hamstring/quadriceps force capacity in male vs. female elite soccer players. </w:t>
      </w:r>
      <w:r w:rsidRPr="00115197">
        <w:rPr>
          <w:rFonts w:ascii="Times New Roman" w:hAnsi="Times New Roman" w:cs="Times New Roman"/>
          <w:i/>
          <w:sz w:val="24"/>
          <w:szCs w:val="24"/>
        </w:rPr>
        <w:t>J Strength Cond Res, 25</w:t>
      </w:r>
      <w:r w:rsidRPr="00115197">
        <w:rPr>
          <w:rFonts w:ascii="Times New Roman" w:hAnsi="Times New Roman" w:cs="Times New Roman"/>
          <w:sz w:val="24"/>
          <w:szCs w:val="24"/>
        </w:rPr>
        <w:t>(7), 1989-1993. doi:10.1519/JSC.0b013e3181e501a6</w:t>
      </w:r>
      <w:r w:rsidRPr="00115197">
        <w:rPr>
          <w:rFonts w:ascii="Times New Roman" w:hAnsi="Times New Roman" w:cs="Times New Roman"/>
          <w:sz w:val="24"/>
          <w:szCs w:val="24"/>
        </w:rPr>
        <w:fldChar w:fldCharType="end"/>
      </w:r>
    </w:p>
    <w:sectPr w:rsidR="00B370B0" w:rsidRPr="005D549F" w:rsidSect="001F6296">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46877" w14:textId="77777777" w:rsidR="00E066F7" w:rsidRDefault="00E066F7" w:rsidP="00656CDD">
      <w:pPr>
        <w:rPr>
          <w:rFonts w:hint="eastAsia"/>
        </w:rPr>
      </w:pPr>
      <w:r>
        <w:separator/>
      </w:r>
    </w:p>
  </w:endnote>
  <w:endnote w:type="continuationSeparator" w:id="0">
    <w:p w14:paraId="103229D6" w14:textId="77777777" w:rsidR="00E066F7" w:rsidRDefault="00E066F7" w:rsidP="00656C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685A" w14:textId="77777777" w:rsidR="00E066F7" w:rsidRDefault="00E066F7" w:rsidP="00656CDD">
      <w:pPr>
        <w:rPr>
          <w:rFonts w:hint="eastAsia"/>
        </w:rPr>
      </w:pPr>
      <w:r>
        <w:separator/>
      </w:r>
    </w:p>
  </w:footnote>
  <w:footnote w:type="continuationSeparator" w:id="0">
    <w:p w14:paraId="5C88CD77" w14:textId="77777777" w:rsidR="00E066F7" w:rsidRDefault="00E066F7" w:rsidP="00656CD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5A"/>
    <w:rsid w:val="0000542D"/>
    <w:rsid w:val="000743A4"/>
    <w:rsid w:val="00077FD3"/>
    <w:rsid w:val="000849F5"/>
    <w:rsid w:val="00092500"/>
    <w:rsid w:val="000B51BA"/>
    <w:rsid w:val="000E4C8A"/>
    <w:rsid w:val="0010450C"/>
    <w:rsid w:val="00121B63"/>
    <w:rsid w:val="001C4D6C"/>
    <w:rsid w:val="001D572E"/>
    <w:rsid w:val="001F6296"/>
    <w:rsid w:val="00214292"/>
    <w:rsid w:val="002A0B55"/>
    <w:rsid w:val="002B2764"/>
    <w:rsid w:val="002F1B60"/>
    <w:rsid w:val="002F6030"/>
    <w:rsid w:val="003005D2"/>
    <w:rsid w:val="003147BB"/>
    <w:rsid w:val="003269C1"/>
    <w:rsid w:val="003650A0"/>
    <w:rsid w:val="00394F9E"/>
    <w:rsid w:val="003C2F46"/>
    <w:rsid w:val="003D7936"/>
    <w:rsid w:val="003E0AFD"/>
    <w:rsid w:val="00442146"/>
    <w:rsid w:val="004D00F5"/>
    <w:rsid w:val="00506B1D"/>
    <w:rsid w:val="00566388"/>
    <w:rsid w:val="00596D14"/>
    <w:rsid w:val="005D549F"/>
    <w:rsid w:val="0062563B"/>
    <w:rsid w:val="00654D4A"/>
    <w:rsid w:val="00656CDD"/>
    <w:rsid w:val="006E081A"/>
    <w:rsid w:val="006F52B8"/>
    <w:rsid w:val="00704228"/>
    <w:rsid w:val="00724E1A"/>
    <w:rsid w:val="007C7CCD"/>
    <w:rsid w:val="007D12FC"/>
    <w:rsid w:val="00852DF1"/>
    <w:rsid w:val="00890C6C"/>
    <w:rsid w:val="0092407B"/>
    <w:rsid w:val="00934701"/>
    <w:rsid w:val="00953733"/>
    <w:rsid w:val="009B5B2C"/>
    <w:rsid w:val="00A00B11"/>
    <w:rsid w:val="00A2465B"/>
    <w:rsid w:val="00A24710"/>
    <w:rsid w:val="00A4534B"/>
    <w:rsid w:val="00A479DE"/>
    <w:rsid w:val="00A62A84"/>
    <w:rsid w:val="00A754D8"/>
    <w:rsid w:val="00A810AB"/>
    <w:rsid w:val="00AA20BC"/>
    <w:rsid w:val="00AB1A54"/>
    <w:rsid w:val="00AD16BE"/>
    <w:rsid w:val="00AD6B61"/>
    <w:rsid w:val="00B370B0"/>
    <w:rsid w:val="00B44E90"/>
    <w:rsid w:val="00B575E0"/>
    <w:rsid w:val="00C040AD"/>
    <w:rsid w:val="00C672A7"/>
    <w:rsid w:val="00CE75C1"/>
    <w:rsid w:val="00D13D6C"/>
    <w:rsid w:val="00D52C0F"/>
    <w:rsid w:val="00D73375"/>
    <w:rsid w:val="00D903DB"/>
    <w:rsid w:val="00DA3A21"/>
    <w:rsid w:val="00DE2604"/>
    <w:rsid w:val="00E066F7"/>
    <w:rsid w:val="00E42C5A"/>
    <w:rsid w:val="00E94D93"/>
    <w:rsid w:val="00E966E6"/>
    <w:rsid w:val="00EB4116"/>
    <w:rsid w:val="00EC2780"/>
    <w:rsid w:val="00F02F73"/>
    <w:rsid w:val="00F11080"/>
    <w:rsid w:val="00F16E18"/>
    <w:rsid w:val="00F45048"/>
    <w:rsid w:val="00F570F3"/>
    <w:rsid w:val="00FB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3E47C"/>
  <w15:chartTrackingRefBased/>
  <w15:docId w15:val="{A0BA6368-A685-4563-A043-72F24A6F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F7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CDD"/>
    <w:pPr>
      <w:tabs>
        <w:tab w:val="center" w:pos="4153"/>
        <w:tab w:val="right" w:pos="8306"/>
      </w:tabs>
      <w:snapToGrid w:val="0"/>
      <w:jc w:val="center"/>
    </w:pPr>
    <w:rPr>
      <w:sz w:val="18"/>
      <w:szCs w:val="18"/>
    </w:rPr>
  </w:style>
  <w:style w:type="character" w:customStyle="1" w:styleId="a5">
    <w:name w:val="页眉 字符"/>
    <w:basedOn w:val="a0"/>
    <w:link w:val="a4"/>
    <w:uiPriority w:val="99"/>
    <w:rsid w:val="00656CDD"/>
    <w:rPr>
      <w:sz w:val="18"/>
      <w:szCs w:val="18"/>
    </w:rPr>
  </w:style>
  <w:style w:type="paragraph" w:styleId="a6">
    <w:name w:val="footer"/>
    <w:basedOn w:val="a"/>
    <w:link w:val="a7"/>
    <w:uiPriority w:val="99"/>
    <w:unhideWhenUsed/>
    <w:rsid w:val="00656CDD"/>
    <w:pPr>
      <w:tabs>
        <w:tab w:val="center" w:pos="4153"/>
        <w:tab w:val="right" w:pos="8306"/>
      </w:tabs>
      <w:snapToGrid w:val="0"/>
      <w:jc w:val="left"/>
    </w:pPr>
    <w:rPr>
      <w:sz w:val="18"/>
      <w:szCs w:val="18"/>
    </w:rPr>
  </w:style>
  <w:style w:type="character" w:customStyle="1" w:styleId="a7">
    <w:name w:val="页脚 字符"/>
    <w:basedOn w:val="a0"/>
    <w:link w:val="a6"/>
    <w:uiPriority w:val="99"/>
    <w:rsid w:val="00656CDD"/>
    <w:rPr>
      <w:sz w:val="18"/>
      <w:szCs w:val="18"/>
    </w:rPr>
  </w:style>
  <w:style w:type="paragraph" w:customStyle="1" w:styleId="EndNoteBibliography">
    <w:name w:val="EndNote Bibliography"/>
    <w:basedOn w:val="a"/>
    <w:link w:val="EndNoteBibliography0"/>
    <w:rsid w:val="00B370B0"/>
    <w:rPr>
      <w:rFonts w:ascii="等线" w:eastAsia="等线" w:hAnsi="等线"/>
      <w:noProof/>
      <w:sz w:val="20"/>
    </w:rPr>
  </w:style>
  <w:style w:type="character" w:customStyle="1" w:styleId="EndNoteBibliography0">
    <w:name w:val="EndNote Bibliography 字符"/>
    <w:basedOn w:val="a0"/>
    <w:link w:val="EndNoteBibliography"/>
    <w:rsid w:val="00B370B0"/>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3778</Words>
  <Characters>19651</Characters>
  <Application>Microsoft Office Word</Application>
  <DocSecurity>0</DocSecurity>
  <Lines>1034</Lines>
  <Paragraphs>976</Paragraphs>
  <ScaleCrop>false</ScaleCrop>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Wyman</dc:creator>
  <cp:keywords/>
  <dc:description/>
  <cp:lastModifiedBy>Dylan Hsu</cp:lastModifiedBy>
  <cp:revision>9</cp:revision>
  <cp:lastPrinted>2025-02-02T12:06:00Z</cp:lastPrinted>
  <dcterms:created xsi:type="dcterms:W3CDTF">2025-04-12T14:31:00Z</dcterms:created>
  <dcterms:modified xsi:type="dcterms:W3CDTF">2025-08-11T12:04:00Z</dcterms:modified>
</cp:coreProperties>
</file>