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6EF9D" w14:textId="0DB8D1AF" w:rsidR="00681ECA" w:rsidRPr="00463355" w:rsidRDefault="00681ECA">
      <w:pPr>
        <w:rPr>
          <w:rFonts w:ascii="Times" w:hAnsi="Times" w:cs="Times"/>
          <w:b/>
          <w:bCs/>
        </w:rPr>
      </w:pPr>
      <w:r w:rsidRPr="00463355">
        <w:rPr>
          <w:rFonts w:ascii="Times" w:hAnsi="Times" w:cs="Times" w:hint="eastAsia"/>
          <w:b/>
          <w:bCs/>
        </w:rPr>
        <w:t>EXPERIMENTAL DESIGN</w:t>
      </w:r>
    </w:p>
    <w:p w14:paraId="11D23A98" w14:textId="6F160126" w:rsidR="000505C5" w:rsidRPr="00245E70" w:rsidRDefault="000505C5" w:rsidP="00426B6D">
      <w:pPr>
        <w:ind w:firstLineChars="200" w:firstLine="420"/>
        <w:rPr>
          <w:rFonts w:ascii="Times" w:hAnsi="Times" w:cs="Times"/>
        </w:rPr>
      </w:pPr>
      <w:r w:rsidRPr="00463355">
        <w:rPr>
          <w:rFonts w:ascii="Times" w:hAnsi="Times" w:cs="Times"/>
          <w:b/>
          <w:bCs/>
        </w:rPr>
        <w:t>Number within each group</w:t>
      </w:r>
      <w:r w:rsidR="005F592E" w:rsidRPr="00463355">
        <w:rPr>
          <w:rFonts w:ascii="Times" w:hAnsi="Times" w:cs="Times"/>
          <w:b/>
          <w:bCs/>
        </w:rPr>
        <w:t>:</w:t>
      </w:r>
      <w:r w:rsidR="00C87FD4" w:rsidRPr="00245E70">
        <w:rPr>
          <w:rFonts w:ascii="Times" w:hAnsi="Times" w:cs="Times"/>
        </w:rPr>
        <w:t xml:space="preserve"> </w:t>
      </w:r>
      <w:r w:rsidR="00852985" w:rsidRPr="00245E70">
        <w:rPr>
          <w:rFonts w:ascii="Times" w:hAnsi="Times" w:cs="Times"/>
        </w:rPr>
        <w:t xml:space="preserve">The control group is defined as the average expression level of the roots of Salsola junatovii, while the treatment group consists of the expression levels of the roots, stems, and leaves from four species of the </w:t>
      </w:r>
      <w:proofErr w:type="spellStart"/>
      <w:r w:rsidR="007752D4" w:rsidRPr="00245E70">
        <w:rPr>
          <w:rFonts w:ascii="Times" w:hAnsi="Times" w:cs="Times"/>
        </w:rPr>
        <w:t>Salsoleae</w:t>
      </w:r>
      <w:proofErr w:type="spellEnd"/>
      <w:r w:rsidR="00852985" w:rsidRPr="00245E70">
        <w:rPr>
          <w:rFonts w:ascii="Times" w:hAnsi="Times" w:cs="Times"/>
        </w:rPr>
        <w:t xml:space="preserve"> tribe, with 3 replicates per tissue.</w:t>
      </w:r>
    </w:p>
    <w:p w14:paraId="063E3F06" w14:textId="77777777" w:rsidR="00681ECA" w:rsidRDefault="00681ECA">
      <w:pPr>
        <w:rPr>
          <w:rFonts w:ascii="Times" w:hAnsi="Times" w:cs="Times"/>
        </w:rPr>
      </w:pPr>
    </w:p>
    <w:p w14:paraId="6759AFED" w14:textId="3C2C301B" w:rsidR="00681ECA" w:rsidRPr="00463355" w:rsidRDefault="00681ECA">
      <w:pPr>
        <w:rPr>
          <w:rFonts w:ascii="Times" w:hAnsi="Times" w:cs="Times"/>
          <w:b/>
          <w:bCs/>
        </w:rPr>
      </w:pPr>
      <w:r w:rsidRPr="00463355">
        <w:rPr>
          <w:rFonts w:ascii="Times" w:hAnsi="Times" w:cs="Times" w:hint="eastAsia"/>
          <w:b/>
          <w:bCs/>
        </w:rPr>
        <w:t>NUCLEIC ACID EXTRACTION</w:t>
      </w:r>
    </w:p>
    <w:p w14:paraId="76F27D1F" w14:textId="0650DDCD" w:rsidR="005F592E" w:rsidRPr="00245E70" w:rsidRDefault="005F592E" w:rsidP="00426B6D">
      <w:pPr>
        <w:ind w:firstLineChars="200" w:firstLine="420"/>
        <w:rPr>
          <w:rFonts w:ascii="Times" w:hAnsi="Times" w:cs="Times"/>
        </w:rPr>
      </w:pPr>
      <w:r w:rsidRPr="00463355">
        <w:rPr>
          <w:rFonts w:ascii="Times" w:hAnsi="Times" w:cs="Times"/>
          <w:b/>
          <w:bCs/>
        </w:rPr>
        <w:t>Yield:</w:t>
      </w:r>
      <w:r w:rsidR="00C87FD4" w:rsidRPr="00245E70">
        <w:rPr>
          <w:rFonts w:ascii="Times" w:hAnsi="Times" w:cs="Times"/>
        </w:rPr>
        <w:t xml:space="preserve"> </w:t>
      </w:r>
      <w:r w:rsidRPr="00245E70">
        <w:rPr>
          <w:rFonts w:ascii="Times" w:hAnsi="Times" w:cs="Times"/>
        </w:rPr>
        <w:t>Yield ranged from 271.1 ng/µL to 1207.8 ng/µL</w:t>
      </w:r>
    </w:p>
    <w:p w14:paraId="302AE464" w14:textId="649411F2" w:rsidR="00C87FD4" w:rsidRPr="00245E70" w:rsidRDefault="00C87FD4" w:rsidP="00426B6D">
      <w:pPr>
        <w:ind w:firstLineChars="200" w:firstLine="420"/>
        <w:rPr>
          <w:rFonts w:ascii="Times" w:hAnsi="Times" w:cs="Times"/>
        </w:rPr>
      </w:pPr>
      <w:r w:rsidRPr="00463355">
        <w:rPr>
          <w:rFonts w:ascii="Times" w:hAnsi="Times" w:cs="Times"/>
          <w:b/>
          <w:bCs/>
        </w:rPr>
        <w:t>Inhibition testing (</w:t>
      </w:r>
      <w:proofErr w:type="spellStart"/>
      <w:r w:rsidRPr="00463355">
        <w:rPr>
          <w:rFonts w:ascii="Times" w:hAnsi="Times" w:cs="Times"/>
          <w:b/>
          <w:bCs/>
        </w:rPr>
        <w:t>Cq</w:t>
      </w:r>
      <w:proofErr w:type="spellEnd"/>
      <w:r w:rsidRPr="00463355">
        <w:rPr>
          <w:rFonts w:ascii="Times" w:hAnsi="Times" w:cs="Times"/>
          <w:b/>
          <w:bCs/>
        </w:rPr>
        <w:t xml:space="preserve"> dilutions, spike or other):</w:t>
      </w:r>
      <w:r w:rsidRPr="00245E70">
        <w:rPr>
          <w:rFonts w:ascii="Times" w:hAnsi="Times" w:cs="Times"/>
        </w:rPr>
        <w:t xml:space="preserve"> Based on the previous experience of the research group, it was found that by performing 3-, 4-, and 5-fold dilutions of the cDNA samples, the best results were achieved with a 4-fold dilution, and no PCR inhibition was detected.</w:t>
      </w:r>
    </w:p>
    <w:p w14:paraId="590B89D8" w14:textId="77777777" w:rsidR="006C486F" w:rsidRDefault="006C486F">
      <w:pPr>
        <w:rPr>
          <w:rFonts w:ascii="Times" w:hAnsi="Times" w:cs="Times"/>
        </w:rPr>
      </w:pPr>
    </w:p>
    <w:p w14:paraId="55405A6C" w14:textId="5196015D" w:rsidR="006C486F" w:rsidRPr="00463355" w:rsidRDefault="006C486F">
      <w:pPr>
        <w:rPr>
          <w:rFonts w:ascii="Times" w:hAnsi="Times" w:cs="Times"/>
          <w:b/>
          <w:bCs/>
        </w:rPr>
      </w:pPr>
      <w:r w:rsidRPr="00463355">
        <w:rPr>
          <w:rFonts w:ascii="Times" w:hAnsi="Times" w:cs="Times" w:hint="eastAsia"/>
          <w:b/>
          <w:bCs/>
        </w:rPr>
        <w:t>REVERSE TRANSCRIPTION</w:t>
      </w:r>
    </w:p>
    <w:p w14:paraId="2EA73D47" w14:textId="2AB3F810" w:rsidR="00C87FD4" w:rsidRPr="00245E70" w:rsidRDefault="00E06C4B" w:rsidP="00426B6D">
      <w:pPr>
        <w:ind w:firstLineChars="200" w:firstLine="420"/>
        <w:rPr>
          <w:rFonts w:ascii="Times" w:hAnsi="Times" w:cs="Times"/>
        </w:rPr>
      </w:pPr>
      <w:r w:rsidRPr="00463355">
        <w:rPr>
          <w:rFonts w:ascii="Times" w:hAnsi="Times" w:cs="Times"/>
          <w:b/>
          <w:bCs/>
        </w:rPr>
        <w:t>Amount of RNA and reaction volume:</w:t>
      </w:r>
      <w:r w:rsidRPr="00245E70">
        <w:rPr>
          <w:rFonts w:ascii="Times" w:hAnsi="Times" w:cs="Times"/>
        </w:rPr>
        <w:t xml:space="preserve"> The amount of RNA used in each reaction (after reverse transcription to cDNA) should be less than 100 ng, and the reaction volume is 25 µL.</w:t>
      </w:r>
    </w:p>
    <w:p w14:paraId="63DFC05E" w14:textId="3B5E67B3" w:rsidR="00BB5C1C" w:rsidRPr="00245E70" w:rsidRDefault="00BB5C1C" w:rsidP="00426B6D">
      <w:pPr>
        <w:ind w:firstLineChars="200" w:firstLine="420"/>
        <w:rPr>
          <w:rFonts w:ascii="Times" w:hAnsi="Times" w:cs="Times"/>
        </w:rPr>
      </w:pPr>
      <w:r w:rsidRPr="00463355">
        <w:rPr>
          <w:rFonts w:ascii="Times" w:hAnsi="Times" w:cs="Times"/>
          <w:b/>
          <w:bCs/>
        </w:rPr>
        <w:t>Priming oligonucleotide (if using GSP) and concentration:</w:t>
      </w:r>
      <w:r w:rsidRPr="00245E70">
        <w:rPr>
          <w:rFonts w:ascii="Times" w:hAnsi="Times" w:cs="Times"/>
        </w:rPr>
        <w:t xml:space="preserve"> The forward and reverse primers for PCR are 10 µM in each reaction.</w:t>
      </w:r>
    </w:p>
    <w:p w14:paraId="19CF6544" w14:textId="33D04894" w:rsidR="00972D0B" w:rsidRDefault="00972D0B" w:rsidP="00426B6D">
      <w:pPr>
        <w:ind w:firstLineChars="200" w:firstLine="420"/>
        <w:rPr>
          <w:rFonts w:ascii="Times" w:hAnsi="Times" w:cs="Times"/>
        </w:rPr>
      </w:pPr>
      <w:r w:rsidRPr="00463355">
        <w:rPr>
          <w:rFonts w:ascii="Times" w:hAnsi="Times" w:cs="Times"/>
          <w:b/>
          <w:bCs/>
        </w:rPr>
        <w:t>Reverse transcriptase and concentration:</w:t>
      </w:r>
      <w:r w:rsidRPr="00245E70">
        <w:rPr>
          <w:rFonts w:ascii="Times" w:hAnsi="Times" w:cs="Times"/>
        </w:rPr>
        <w:t xml:space="preserve"> </w:t>
      </w:r>
      <w:r w:rsidR="004E7813" w:rsidRPr="00245E70">
        <w:rPr>
          <w:rFonts w:ascii="Times" w:hAnsi="Times" w:cs="Times"/>
        </w:rPr>
        <w:t xml:space="preserve">The reverse transcription was performed using </w:t>
      </w:r>
      <w:proofErr w:type="spellStart"/>
      <w:r w:rsidR="004E7813" w:rsidRPr="00245E70">
        <w:rPr>
          <w:rFonts w:ascii="Times" w:hAnsi="Times" w:cs="Times"/>
        </w:rPr>
        <w:t>PrimeScript</w:t>
      </w:r>
      <w:r w:rsidR="002D3905" w:rsidRPr="002D3905">
        <w:rPr>
          <w:rFonts w:ascii="Times" w:hAnsi="Times" w:cs="Times" w:hint="eastAsia"/>
          <w:vertAlign w:val="superscript"/>
        </w:rPr>
        <w:t>TM</w:t>
      </w:r>
      <w:proofErr w:type="spellEnd"/>
      <w:r w:rsidR="004E7813" w:rsidRPr="00245E70">
        <w:rPr>
          <w:rFonts w:ascii="Times" w:hAnsi="Times" w:cs="Times"/>
        </w:rPr>
        <w:t xml:space="preserve"> RT Reagent Kit with gDNA Eraser, with 1.0 </w:t>
      </w:r>
      <w:proofErr w:type="spellStart"/>
      <w:r w:rsidR="004E7813" w:rsidRPr="00245E70">
        <w:rPr>
          <w:rFonts w:ascii="Times" w:hAnsi="Times" w:cs="Times"/>
        </w:rPr>
        <w:t>μL</w:t>
      </w:r>
      <w:proofErr w:type="spellEnd"/>
      <w:r w:rsidR="004E7813" w:rsidRPr="00245E70">
        <w:rPr>
          <w:rFonts w:ascii="Times" w:hAnsi="Times" w:cs="Times"/>
        </w:rPr>
        <w:t xml:space="preserve"> of </w:t>
      </w:r>
      <w:proofErr w:type="spellStart"/>
      <w:r w:rsidR="004E7813" w:rsidRPr="00245E70">
        <w:rPr>
          <w:rFonts w:ascii="Times" w:hAnsi="Times" w:cs="Times"/>
        </w:rPr>
        <w:t>PrimeScript</w:t>
      </w:r>
      <w:proofErr w:type="spellEnd"/>
      <w:r w:rsidR="004E7813" w:rsidRPr="00245E70">
        <w:rPr>
          <w:rFonts w:ascii="Times" w:hAnsi="Times" w:cs="Times"/>
        </w:rPr>
        <w:t xml:space="preserve"> RT Enzyme Mix Ⅰ added per 20 </w:t>
      </w:r>
      <w:proofErr w:type="spellStart"/>
      <w:r w:rsidR="004E7813" w:rsidRPr="00245E70">
        <w:rPr>
          <w:rFonts w:ascii="Times" w:hAnsi="Times" w:cs="Times"/>
        </w:rPr>
        <w:t>μL</w:t>
      </w:r>
      <w:proofErr w:type="spellEnd"/>
      <w:r w:rsidR="004E7813" w:rsidRPr="00245E70">
        <w:rPr>
          <w:rFonts w:ascii="Times" w:hAnsi="Times" w:cs="Times"/>
        </w:rPr>
        <w:t xml:space="preserve"> reaction volume.</w:t>
      </w:r>
    </w:p>
    <w:p w14:paraId="6BF45C9D" w14:textId="3AAA32DB" w:rsidR="00681ECA" w:rsidRDefault="00681ECA" w:rsidP="00426B6D">
      <w:pPr>
        <w:ind w:firstLineChars="200" w:firstLine="420"/>
        <w:rPr>
          <w:rFonts w:ascii="Times" w:hAnsi="Times" w:cs="Times"/>
        </w:rPr>
      </w:pPr>
      <w:r w:rsidRPr="00463355">
        <w:rPr>
          <w:rFonts w:ascii="Times" w:hAnsi="Times" w:cs="Times" w:hint="eastAsia"/>
          <w:b/>
          <w:bCs/>
        </w:rPr>
        <w:t>Temperature and time:</w:t>
      </w:r>
      <w:r w:rsidR="006C486F" w:rsidRPr="006C486F">
        <w:rPr>
          <w:rFonts w:hint="eastAsia"/>
        </w:rPr>
        <w:t xml:space="preserve"> </w:t>
      </w:r>
      <w:r w:rsidR="006C486F" w:rsidRPr="006C486F">
        <w:rPr>
          <w:rFonts w:ascii="Times" w:hAnsi="Times" w:cs="Times" w:hint="eastAsia"/>
        </w:rPr>
        <w:t>The reverse transcription reaction was carried out at 37</w:t>
      </w:r>
      <w:r w:rsidR="006C486F" w:rsidRPr="006C486F">
        <w:rPr>
          <w:rFonts w:ascii="Times" w:hAnsi="Times" w:cs="Times" w:hint="eastAsia"/>
        </w:rPr>
        <w:t>°</w:t>
      </w:r>
      <w:r w:rsidR="006C486F" w:rsidRPr="006C486F">
        <w:rPr>
          <w:rFonts w:ascii="Times" w:hAnsi="Times" w:cs="Times" w:hint="eastAsia"/>
        </w:rPr>
        <w:t>C for 15 minutes, followed by 5 seconds at 85</w:t>
      </w:r>
      <w:r w:rsidR="006C486F" w:rsidRPr="006C486F">
        <w:rPr>
          <w:rFonts w:ascii="Times" w:hAnsi="Times" w:cs="Times" w:hint="eastAsia"/>
        </w:rPr>
        <w:t>°</w:t>
      </w:r>
      <w:r w:rsidR="006C486F" w:rsidRPr="006C486F">
        <w:rPr>
          <w:rFonts w:ascii="Times" w:hAnsi="Times" w:cs="Times" w:hint="eastAsia"/>
        </w:rPr>
        <w:t>C and then stored at 4</w:t>
      </w:r>
      <w:r w:rsidR="006C486F" w:rsidRPr="006C486F">
        <w:rPr>
          <w:rFonts w:ascii="Times" w:hAnsi="Times" w:cs="Times" w:hint="eastAsia"/>
        </w:rPr>
        <w:t>°</w:t>
      </w:r>
      <w:r w:rsidR="006C486F" w:rsidRPr="006C486F">
        <w:rPr>
          <w:rFonts w:ascii="Times" w:hAnsi="Times" w:cs="Times" w:hint="eastAsia"/>
        </w:rPr>
        <w:t>C.</w:t>
      </w:r>
    </w:p>
    <w:p w14:paraId="54C0FCCA" w14:textId="3ED2F5D1" w:rsidR="002D3905" w:rsidRDefault="002D3905" w:rsidP="00426B6D">
      <w:pPr>
        <w:ind w:firstLineChars="200" w:firstLine="420"/>
        <w:rPr>
          <w:rFonts w:ascii="Times" w:hAnsi="Times" w:cs="Times"/>
        </w:rPr>
      </w:pPr>
      <w:r w:rsidRPr="00463355">
        <w:rPr>
          <w:rFonts w:ascii="Times" w:hAnsi="Times" w:cs="Times" w:hint="eastAsia"/>
          <w:b/>
          <w:bCs/>
        </w:rPr>
        <w:t>Manufacturer of reagents and catalogue numbers:</w:t>
      </w:r>
      <w:r>
        <w:rPr>
          <w:rFonts w:ascii="Times" w:hAnsi="Times" w:cs="Times" w:hint="eastAsia"/>
        </w:rPr>
        <w:t xml:space="preserve"> </w:t>
      </w:r>
      <w:r w:rsidRPr="002D3905">
        <w:rPr>
          <w:rFonts w:ascii="Times" w:hAnsi="Times" w:cs="Times" w:hint="eastAsia"/>
        </w:rPr>
        <w:t xml:space="preserve">The reagent kit used is </w:t>
      </w:r>
      <w:proofErr w:type="spellStart"/>
      <w:r w:rsidRPr="002D3905">
        <w:rPr>
          <w:rFonts w:ascii="Times" w:hAnsi="Times" w:cs="Times" w:hint="eastAsia"/>
        </w:rPr>
        <w:t>PrimeScript</w:t>
      </w:r>
      <w:r w:rsidRPr="002D3905">
        <w:rPr>
          <w:rFonts w:ascii="Times" w:hAnsi="Times" w:cs="Times" w:hint="eastAsia"/>
          <w:vertAlign w:val="superscript"/>
        </w:rPr>
        <w:t>TM</w:t>
      </w:r>
      <w:proofErr w:type="spellEnd"/>
      <w:r w:rsidRPr="002D3905">
        <w:rPr>
          <w:rFonts w:ascii="Times" w:hAnsi="Times" w:cs="Times" w:hint="eastAsia"/>
        </w:rPr>
        <w:t xml:space="preserve"> RT Reagent Kit with gDNA Eraser, manufactured by Takara Bio, with catalogue number Code No. RR047Q.</w:t>
      </w:r>
    </w:p>
    <w:p w14:paraId="289A9B35" w14:textId="26E8886C" w:rsidR="002D3905" w:rsidRDefault="002D3905" w:rsidP="00426B6D">
      <w:pPr>
        <w:ind w:firstLineChars="200" w:firstLine="420"/>
        <w:rPr>
          <w:rFonts w:ascii="Times" w:hAnsi="Times" w:cs="Times"/>
        </w:rPr>
      </w:pPr>
      <w:r w:rsidRPr="00463355">
        <w:rPr>
          <w:rFonts w:ascii="Times" w:hAnsi="Times" w:cs="Times" w:hint="eastAsia"/>
          <w:b/>
          <w:bCs/>
        </w:rPr>
        <w:t xml:space="preserve">Storage conditions of cDNA: </w:t>
      </w:r>
      <w:r w:rsidR="006D6390" w:rsidRPr="006D6390">
        <w:rPr>
          <w:rFonts w:ascii="Times" w:hAnsi="Times" w:cs="Times" w:hint="eastAsia"/>
        </w:rPr>
        <w:t>All cDNA samples were stored at 4</w:t>
      </w:r>
      <w:r w:rsidR="006D6390" w:rsidRPr="006D6390">
        <w:rPr>
          <w:rFonts w:ascii="Times" w:hAnsi="Times" w:cs="Times" w:hint="eastAsia"/>
        </w:rPr>
        <w:t>°</w:t>
      </w:r>
      <w:r w:rsidR="006D6390" w:rsidRPr="006D6390">
        <w:rPr>
          <w:rFonts w:ascii="Times" w:hAnsi="Times" w:cs="Times" w:hint="eastAsia"/>
        </w:rPr>
        <w:t>C.</w:t>
      </w:r>
    </w:p>
    <w:p w14:paraId="7FFCB2F6" w14:textId="77777777" w:rsidR="00426B6D" w:rsidRDefault="00426B6D">
      <w:pPr>
        <w:rPr>
          <w:rFonts w:ascii="Times" w:hAnsi="Times" w:cs="Times"/>
        </w:rPr>
      </w:pPr>
    </w:p>
    <w:p w14:paraId="3C616F10" w14:textId="3021773A" w:rsidR="00426B6D" w:rsidRPr="00463355" w:rsidRDefault="00426B6D">
      <w:pPr>
        <w:rPr>
          <w:rFonts w:ascii="Times" w:hAnsi="Times" w:cs="Times"/>
          <w:b/>
          <w:bCs/>
        </w:rPr>
      </w:pPr>
      <w:r w:rsidRPr="00463355">
        <w:rPr>
          <w:rFonts w:ascii="Times" w:hAnsi="Times" w:cs="Times" w:hint="eastAsia"/>
          <w:b/>
          <w:bCs/>
        </w:rPr>
        <w:t>qPCR TARGET INFORMATION</w:t>
      </w:r>
    </w:p>
    <w:p w14:paraId="388FAF54" w14:textId="1C6A7D9B" w:rsidR="00BE626A" w:rsidRDefault="00BE626A" w:rsidP="00426B6D">
      <w:pPr>
        <w:ind w:firstLineChars="200" w:firstLine="420"/>
        <w:rPr>
          <w:rFonts w:ascii="Times" w:hAnsi="Times" w:cs="Times"/>
        </w:rPr>
      </w:pPr>
      <w:r w:rsidRPr="00463355">
        <w:rPr>
          <w:rFonts w:ascii="Times" w:hAnsi="Times" w:cs="Times" w:hint="eastAsia"/>
          <w:b/>
          <w:bCs/>
        </w:rPr>
        <w:t>Sequence accession number:</w:t>
      </w:r>
      <w:r>
        <w:rPr>
          <w:rFonts w:ascii="Times" w:hAnsi="Times" w:cs="Times" w:hint="eastAsia"/>
        </w:rPr>
        <w:t xml:space="preserve"> </w:t>
      </w:r>
      <w:r w:rsidR="008259B2" w:rsidRPr="008259B2">
        <w:rPr>
          <w:rFonts w:ascii="Times" w:hAnsi="Times" w:cs="Times" w:hint="eastAsia"/>
        </w:rPr>
        <w:t>The sequence accession numbers for the genes of all species used in the experiments have not been published. However, the protein sequence accession numbers can be found in the Supplemental Raw Data file, SHMT_protein_sequences.docx.</w:t>
      </w:r>
    </w:p>
    <w:p w14:paraId="421AD087" w14:textId="77777777" w:rsidR="00221F5B" w:rsidRDefault="00426B6D" w:rsidP="00221F5B">
      <w:pPr>
        <w:ind w:firstLineChars="200" w:firstLine="420"/>
        <w:rPr>
          <w:rFonts w:ascii="Times" w:hAnsi="Times" w:cs="Times"/>
        </w:rPr>
      </w:pPr>
      <w:r w:rsidRPr="00463355">
        <w:rPr>
          <w:rFonts w:ascii="Times" w:hAnsi="Times" w:cs="Times" w:hint="eastAsia"/>
          <w:b/>
          <w:bCs/>
        </w:rPr>
        <w:t>Location of amplicon:</w:t>
      </w:r>
      <w:r>
        <w:rPr>
          <w:rFonts w:ascii="Times" w:hAnsi="Times" w:cs="Times" w:hint="eastAsia"/>
        </w:rPr>
        <w:t xml:space="preserve"> </w:t>
      </w:r>
      <w:r w:rsidRPr="00426B6D">
        <w:rPr>
          <w:rFonts w:ascii="Times" w:hAnsi="Times" w:cs="Times"/>
        </w:rPr>
        <w:t xml:space="preserve">The amplicon positions for the SHMT genes are as follows: SjSHMT1 has an amplicon from 665 to 755, SjSHMT2 from 885 to 1001, SjSHMT4 from 91 to 220, and SjSHMT7 from 52 to 175. For </w:t>
      </w:r>
      <w:proofErr w:type="spellStart"/>
      <w:r w:rsidRPr="00426B6D">
        <w:rPr>
          <w:rFonts w:ascii="Times" w:hAnsi="Times" w:cs="Times"/>
        </w:rPr>
        <w:t>OlSHMT</w:t>
      </w:r>
      <w:proofErr w:type="spellEnd"/>
      <w:r w:rsidRPr="00426B6D">
        <w:rPr>
          <w:rFonts w:ascii="Times" w:hAnsi="Times" w:cs="Times"/>
        </w:rPr>
        <w:t xml:space="preserve">, the amplicons are as follows: OlSHMT1 from 48 to 148, OlSHMT2 from 238 to 360, OlSHMT3 from 1247 to 1346, OlSHMT4 from 97 to 222, and OlSHMT7 from 259 to 326. For </w:t>
      </w:r>
      <w:proofErr w:type="spellStart"/>
      <w:r w:rsidRPr="00426B6D">
        <w:rPr>
          <w:rFonts w:ascii="Times" w:hAnsi="Times" w:cs="Times"/>
        </w:rPr>
        <w:t>SfSHMT</w:t>
      </w:r>
      <w:proofErr w:type="spellEnd"/>
      <w:r w:rsidRPr="00426B6D">
        <w:rPr>
          <w:rFonts w:ascii="Times" w:hAnsi="Times" w:cs="Times"/>
        </w:rPr>
        <w:t xml:space="preserve">, the amplicons are: SfSHMT1 from 66 to 131, SfSHMT2 from 522 to 651, SfSHMT4 from 3 to 97, and SfSHMT7 from 261 to 342. Lastly, for </w:t>
      </w:r>
      <w:proofErr w:type="spellStart"/>
      <w:r w:rsidRPr="00426B6D">
        <w:rPr>
          <w:rFonts w:ascii="Times" w:hAnsi="Times" w:cs="Times"/>
        </w:rPr>
        <w:t>XaSHMT</w:t>
      </w:r>
      <w:proofErr w:type="spellEnd"/>
      <w:r w:rsidRPr="00426B6D">
        <w:rPr>
          <w:rFonts w:ascii="Times" w:hAnsi="Times" w:cs="Times"/>
        </w:rPr>
        <w:t>, the amplicons are: XaSHMT1 from 94 to 202, XaSHMT2 from 273 to 384, XaSHMT3 from 63 to 136, XaSHMT4 from 825 to 938, and XaSHMT7 from 279 to 334.</w:t>
      </w:r>
    </w:p>
    <w:p w14:paraId="70107116" w14:textId="1C4C9C74" w:rsidR="00E043C6" w:rsidRDefault="00E043C6" w:rsidP="00221F5B">
      <w:pPr>
        <w:ind w:firstLineChars="200" w:firstLine="420"/>
        <w:rPr>
          <w:rFonts w:ascii="Times" w:hAnsi="Times" w:cs="Times"/>
        </w:rPr>
      </w:pPr>
      <w:r w:rsidRPr="00463355">
        <w:rPr>
          <w:rFonts w:ascii="Times" w:hAnsi="Times" w:cs="Times" w:hint="eastAsia"/>
          <w:b/>
          <w:bCs/>
        </w:rPr>
        <w:t xml:space="preserve">Amplicon </w:t>
      </w:r>
      <w:proofErr w:type="spellStart"/>
      <w:r w:rsidRPr="00463355">
        <w:rPr>
          <w:rFonts w:ascii="Times" w:hAnsi="Times" w:cs="Times" w:hint="eastAsia"/>
          <w:b/>
          <w:bCs/>
        </w:rPr>
        <w:t>length</w:t>
      </w:r>
      <w:r w:rsidRPr="00463355">
        <w:rPr>
          <w:rFonts w:ascii="Times" w:hAnsi="Times" w:cs="Times"/>
          <w:b/>
          <w:bCs/>
        </w:rPr>
        <w:t>The</w:t>
      </w:r>
      <w:proofErr w:type="spellEnd"/>
      <w:r w:rsidRPr="00463355">
        <w:rPr>
          <w:rFonts w:ascii="Times" w:hAnsi="Times" w:cs="Times"/>
          <w:b/>
          <w:bCs/>
        </w:rPr>
        <w:t xml:space="preserve"> amplicon lengths for the SHMT genes are as follows:</w:t>
      </w:r>
      <w:r w:rsidRPr="00E043C6">
        <w:rPr>
          <w:rFonts w:ascii="Times" w:hAnsi="Times" w:cs="Times"/>
        </w:rPr>
        <w:t xml:space="preserve"> SjSHMT1 has an amplicon length of 90, SjSHMT2 has 116, SjSHMT4 has 129, and SjSHMT7 has 123. For </w:t>
      </w:r>
      <w:proofErr w:type="spellStart"/>
      <w:r w:rsidRPr="00E043C6">
        <w:rPr>
          <w:rFonts w:ascii="Times" w:hAnsi="Times" w:cs="Times"/>
        </w:rPr>
        <w:t>OlSHMT</w:t>
      </w:r>
      <w:proofErr w:type="spellEnd"/>
      <w:r w:rsidRPr="00E043C6">
        <w:rPr>
          <w:rFonts w:ascii="Times" w:hAnsi="Times" w:cs="Times"/>
        </w:rPr>
        <w:t xml:space="preserve">, the amplicon lengths are as follows: OlSHMT1 has 100, OlSHMT2 has 122, OlSHMT3 has 99, OlSHMT4 has 125, and OlSHMT7 has 67. For </w:t>
      </w:r>
      <w:proofErr w:type="spellStart"/>
      <w:r w:rsidRPr="00E043C6">
        <w:rPr>
          <w:rFonts w:ascii="Times" w:hAnsi="Times" w:cs="Times"/>
        </w:rPr>
        <w:t>SfSHMT</w:t>
      </w:r>
      <w:proofErr w:type="spellEnd"/>
      <w:r w:rsidRPr="00E043C6">
        <w:rPr>
          <w:rFonts w:ascii="Times" w:hAnsi="Times" w:cs="Times"/>
        </w:rPr>
        <w:t xml:space="preserve">, the amplicon lengths are: SfSHMT1 has 65, SfSHMT2 has 129, SfSHMT4 has 94, and SfSHMT7 has 81. Lastly, for </w:t>
      </w:r>
      <w:proofErr w:type="spellStart"/>
      <w:r w:rsidRPr="00E043C6">
        <w:rPr>
          <w:rFonts w:ascii="Times" w:hAnsi="Times" w:cs="Times"/>
        </w:rPr>
        <w:t>XaSHMT</w:t>
      </w:r>
      <w:proofErr w:type="spellEnd"/>
      <w:r w:rsidRPr="00E043C6">
        <w:rPr>
          <w:rFonts w:ascii="Times" w:hAnsi="Times" w:cs="Times"/>
        </w:rPr>
        <w:t xml:space="preserve">, the amplicon lengths are: XaSHMT1 has 108, XaSHMT2 has 111, XaSHMT3 has 73, </w:t>
      </w:r>
      <w:r w:rsidRPr="00E043C6">
        <w:rPr>
          <w:rFonts w:ascii="Times" w:hAnsi="Times" w:cs="Times"/>
        </w:rPr>
        <w:lastRenderedPageBreak/>
        <w:t>XaSHMT4 has 113, and XaSHMT7 has 55.</w:t>
      </w:r>
    </w:p>
    <w:p w14:paraId="3857FB08" w14:textId="45CD69A2" w:rsidR="00E40866" w:rsidRDefault="007A20E5" w:rsidP="00221F5B">
      <w:pPr>
        <w:ind w:firstLineChars="200" w:firstLine="420"/>
        <w:rPr>
          <w:rFonts w:ascii="Times" w:hAnsi="Times" w:cs="Times"/>
        </w:rPr>
      </w:pPr>
      <w:r w:rsidRPr="00463355">
        <w:rPr>
          <w:rFonts w:ascii="Times" w:hAnsi="Times" w:cs="Times" w:hint="eastAsia"/>
          <w:b/>
          <w:bCs/>
        </w:rPr>
        <w:t xml:space="preserve">In silico specificity screen (BLAST, </w:t>
      </w:r>
      <w:proofErr w:type="spellStart"/>
      <w:r w:rsidRPr="00463355">
        <w:rPr>
          <w:rFonts w:ascii="Times" w:hAnsi="Times" w:cs="Times" w:hint="eastAsia"/>
          <w:b/>
          <w:bCs/>
        </w:rPr>
        <w:t>etc</w:t>
      </w:r>
      <w:proofErr w:type="spellEnd"/>
      <w:r w:rsidRPr="00463355">
        <w:rPr>
          <w:rFonts w:ascii="Times" w:hAnsi="Times" w:cs="Times" w:hint="eastAsia"/>
          <w:b/>
          <w:bCs/>
        </w:rPr>
        <w:t>):</w:t>
      </w:r>
      <w:r>
        <w:rPr>
          <w:rFonts w:ascii="Times" w:hAnsi="Times" w:cs="Times" w:hint="eastAsia"/>
        </w:rPr>
        <w:t xml:space="preserve"> </w:t>
      </w:r>
      <w:r w:rsidRPr="007A20E5">
        <w:rPr>
          <w:rFonts w:ascii="Times" w:hAnsi="Times" w:cs="Times" w:hint="eastAsia"/>
        </w:rPr>
        <w:t>Primer design and in silico specificity screening were performed using NCBI tools, including BLAST. The primers were found to have high specificity to the target gene sequence, with no significant off-target matches identified in the database.</w:t>
      </w:r>
    </w:p>
    <w:p w14:paraId="46DCE137" w14:textId="34EF57FA" w:rsidR="007A20E5" w:rsidRDefault="007A20E5" w:rsidP="00221F5B">
      <w:pPr>
        <w:ind w:firstLineChars="200" w:firstLine="420"/>
        <w:rPr>
          <w:rFonts w:ascii="Times" w:hAnsi="Times" w:cs="Times"/>
        </w:rPr>
      </w:pPr>
      <w:r w:rsidRPr="00463355">
        <w:rPr>
          <w:rFonts w:ascii="Times" w:hAnsi="Times" w:cs="Times" w:hint="eastAsia"/>
          <w:b/>
          <w:bCs/>
        </w:rPr>
        <w:t>Sequence alignment: The genome data used is unpublished</w:t>
      </w:r>
      <w:r w:rsidR="00463355" w:rsidRPr="00463355">
        <w:rPr>
          <w:rFonts w:ascii="Times" w:hAnsi="Times" w:cs="Times" w:hint="eastAsia"/>
          <w:b/>
          <w:bCs/>
        </w:rPr>
        <w:t>:</w:t>
      </w:r>
      <w:r w:rsidRPr="007A20E5">
        <w:rPr>
          <w:rFonts w:ascii="Times" w:hAnsi="Times" w:cs="Times" w:hint="eastAsia"/>
        </w:rPr>
        <w:t xml:space="preserve"> however, primer design was performed by aligning with a closely related species, Chenopodium (quinoa), within the same family.</w:t>
      </w:r>
    </w:p>
    <w:p w14:paraId="06F0DE20" w14:textId="1EDE364E" w:rsidR="005C0B80" w:rsidRDefault="005C0B80" w:rsidP="00221F5B">
      <w:pPr>
        <w:ind w:firstLineChars="200" w:firstLine="420"/>
        <w:rPr>
          <w:rFonts w:ascii="Times" w:hAnsi="Times" w:cs="Times"/>
        </w:rPr>
      </w:pPr>
      <w:r w:rsidRPr="00463355">
        <w:rPr>
          <w:rFonts w:ascii="Times" w:hAnsi="Times" w:cs="Times" w:hint="eastAsia"/>
          <w:b/>
          <w:bCs/>
        </w:rPr>
        <w:t>Secondary structure analysis of amplicon:</w:t>
      </w:r>
      <w:r w:rsidR="00463355">
        <w:rPr>
          <w:rFonts w:ascii="Times" w:hAnsi="Times" w:cs="Times" w:hint="eastAsia"/>
        </w:rPr>
        <w:t xml:space="preserve"> </w:t>
      </w:r>
      <w:r w:rsidRPr="005C0B80">
        <w:rPr>
          <w:rFonts w:ascii="Times" w:hAnsi="Times" w:cs="Times" w:hint="eastAsia"/>
        </w:rPr>
        <w:t>The analysis was performed using NCBI and DNAMAN, and no amplicon showed any hairpin structures that would lead to amplification failure.</w:t>
      </w:r>
    </w:p>
    <w:p w14:paraId="21B09815" w14:textId="77777777" w:rsidR="0064624F" w:rsidRDefault="0064624F" w:rsidP="00221F5B">
      <w:pPr>
        <w:ind w:firstLineChars="200" w:firstLine="420"/>
        <w:rPr>
          <w:rFonts w:ascii="Times" w:hAnsi="Times" w:cs="Times"/>
        </w:rPr>
      </w:pPr>
    </w:p>
    <w:p w14:paraId="08496F11" w14:textId="4668B5B2" w:rsidR="0064624F" w:rsidRPr="00463355" w:rsidRDefault="0064624F" w:rsidP="0064624F">
      <w:pPr>
        <w:rPr>
          <w:rFonts w:ascii="Times" w:hAnsi="Times" w:cs="Times"/>
          <w:b/>
          <w:bCs/>
        </w:rPr>
      </w:pPr>
      <w:r w:rsidRPr="00463355">
        <w:rPr>
          <w:rFonts w:ascii="Times" w:hAnsi="Times" w:cs="Times" w:hint="eastAsia"/>
          <w:b/>
          <w:bCs/>
        </w:rPr>
        <w:t>qPCR PROTOCOL</w:t>
      </w:r>
    </w:p>
    <w:p w14:paraId="79507959" w14:textId="30C1EE8A" w:rsidR="0064624F" w:rsidRDefault="0064624F" w:rsidP="0064624F">
      <w:pPr>
        <w:ind w:firstLineChars="200" w:firstLine="420"/>
        <w:rPr>
          <w:rFonts w:ascii="Times" w:hAnsi="Times" w:cs="Times"/>
        </w:rPr>
      </w:pPr>
      <w:r w:rsidRPr="00463355">
        <w:rPr>
          <w:rFonts w:ascii="Times" w:hAnsi="Times" w:cs="Times"/>
          <w:b/>
          <w:bCs/>
        </w:rPr>
        <w:t>Complete reaction conditions</w:t>
      </w:r>
      <w:r w:rsidR="009D7E4D" w:rsidRPr="00463355">
        <w:rPr>
          <w:rFonts w:ascii="Times" w:hAnsi="Times" w:cs="Times" w:hint="eastAsia"/>
          <w:b/>
          <w:bCs/>
        </w:rPr>
        <w:t>/Reaction volume and amount of cDNA/DNA/Primer, (probe), Mg++ and dNTP concentrations/Polymerase identity and concentration</w:t>
      </w:r>
      <w:r w:rsidRPr="00463355">
        <w:rPr>
          <w:rFonts w:ascii="Times" w:hAnsi="Times" w:cs="Times"/>
          <w:b/>
          <w:bCs/>
        </w:rPr>
        <w:t>:</w:t>
      </w:r>
      <w:r w:rsidRPr="0064624F">
        <w:rPr>
          <w:rFonts w:ascii="Times" w:hAnsi="Times" w:cs="Times"/>
        </w:rPr>
        <w:t xml:space="preserve"> </w:t>
      </w:r>
      <w:r w:rsidR="0019089D" w:rsidRPr="0019089D">
        <w:rPr>
          <w:rFonts w:ascii="Times" w:hAnsi="Times" w:cs="Times"/>
        </w:rPr>
        <w:t>The reaction system consists of a total volume of 25 µL, containing 1 µL of forward and reverse primers, 2 µL of template, 8.5 µL of sterilized water, and 12.5 µL of enzyme. The enzyme used is TB Green Premix Ex Taq Ⅱ. The qPCR cycling conditions are as follows: pre-incubation at 95°C for 30 seconds, followed by the PCR amplification stage at 95°C for 5 seconds and 60°C for 30 seconds. This process is repeated for 40 cycles. In the melt curve stage, the conditions are 95°C for 10 seconds, 60°C for 30 seconds, and 95°C for 1 second.</w:t>
      </w:r>
    </w:p>
    <w:p w14:paraId="151081B2" w14:textId="035F76DB" w:rsidR="00FB4486" w:rsidRDefault="00FB4486" w:rsidP="0064624F">
      <w:pPr>
        <w:ind w:firstLineChars="200" w:firstLine="420"/>
        <w:rPr>
          <w:rFonts w:ascii="Times" w:hAnsi="Times" w:cs="Times"/>
        </w:rPr>
      </w:pPr>
      <w:r w:rsidRPr="00463355">
        <w:rPr>
          <w:rFonts w:ascii="Times" w:hAnsi="Times" w:cs="Times" w:hint="eastAsia"/>
          <w:b/>
          <w:bCs/>
        </w:rPr>
        <w:t>Buffer/kit identity and manufacturer:</w:t>
      </w:r>
      <w:r>
        <w:rPr>
          <w:rFonts w:ascii="Times" w:hAnsi="Times" w:cs="Times" w:hint="eastAsia"/>
        </w:rPr>
        <w:t xml:space="preserve"> </w:t>
      </w:r>
      <w:r w:rsidRPr="00FB4486">
        <w:rPr>
          <w:rFonts w:ascii="Times" w:hAnsi="Times" w:cs="Times"/>
        </w:rPr>
        <w:t xml:space="preserve">The reagent kit used is the TB Green Premix Ex Taq </w:t>
      </w:r>
      <w:r w:rsidRPr="003A09DA">
        <w:rPr>
          <w:rFonts w:ascii="Times" w:hAnsi="Times" w:cs="Times"/>
          <w:vertAlign w:val="superscript"/>
        </w:rPr>
        <w:t>TM</w:t>
      </w:r>
      <w:r w:rsidRPr="00FB4486">
        <w:rPr>
          <w:rFonts w:ascii="Times" w:hAnsi="Times" w:cs="Times"/>
        </w:rPr>
        <w:t xml:space="preserve"> Ⅱ kit from </w:t>
      </w:r>
      <w:proofErr w:type="spellStart"/>
      <w:r w:rsidRPr="00FB4486">
        <w:rPr>
          <w:rFonts w:ascii="Times" w:hAnsi="Times" w:cs="Times"/>
        </w:rPr>
        <w:t>TaKaRa</w:t>
      </w:r>
      <w:proofErr w:type="spellEnd"/>
      <w:r w:rsidRPr="00FB4486">
        <w:rPr>
          <w:rFonts w:ascii="Times" w:hAnsi="Times" w:cs="Times"/>
        </w:rPr>
        <w:t>, with catalogue number Code No. RR820A.</w:t>
      </w:r>
    </w:p>
    <w:p w14:paraId="44822A1A" w14:textId="25AA347F" w:rsidR="003A09DA" w:rsidRDefault="003A09DA" w:rsidP="0064624F">
      <w:pPr>
        <w:ind w:firstLineChars="200" w:firstLine="420"/>
        <w:rPr>
          <w:rFonts w:ascii="Times" w:hAnsi="Times" w:cs="Times"/>
        </w:rPr>
      </w:pPr>
      <w:r w:rsidRPr="00463355">
        <w:rPr>
          <w:rFonts w:ascii="Times" w:hAnsi="Times" w:cs="Times" w:hint="eastAsia"/>
          <w:b/>
          <w:bCs/>
        </w:rPr>
        <w:t>Additives (SYBR Green I, DMSO, etc.):</w:t>
      </w:r>
      <w:r>
        <w:rPr>
          <w:rFonts w:ascii="Times" w:hAnsi="Times" w:cs="Times" w:hint="eastAsia"/>
        </w:rPr>
        <w:t xml:space="preserve"> </w:t>
      </w:r>
      <w:r w:rsidRPr="003A09DA">
        <w:rPr>
          <w:rFonts w:ascii="Times" w:hAnsi="Times" w:cs="Times"/>
        </w:rPr>
        <w:t>TB Green Premix Ex Taq Ⅱ is an enzyme with fluorescence.</w:t>
      </w:r>
    </w:p>
    <w:p w14:paraId="3628E96D" w14:textId="0952CA74" w:rsidR="00671120" w:rsidRDefault="00671120" w:rsidP="0064624F">
      <w:pPr>
        <w:ind w:firstLineChars="200" w:firstLine="420"/>
        <w:rPr>
          <w:rFonts w:ascii="Times" w:hAnsi="Times" w:cs="Times"/>
        </w:rPr>
      </w:pPr>
      <w:r w:rsidRPr="00463355">
        <w:rPr>
          <w:rFonts w:ascii="Times" w:hAnsi="Times" w:cs="Times" w:hint="eastAsia"/>
          <w:b/>
          <w:bCs/>
        </w:rPr>
        <w:t>Manufacturer of plates/tubes and catalog number:</w:t>
      </w:r>
      <w:r>
        <w:rPr>
          <w:rFonts w:ascii="Times" w:hAnsi="Times" w:cs="Times" w:hint="eastAsia"/>
        </w:rPr>
        <w:t xml:space="preserve"> </w:t>
      </w:r>
      <w:r w:rsidRPr="00671120">
        <w:rPr>
          <w:rFonts w:ascii="Times" w:hAnsi="Times" w:cs="Times"/>
        </w:rPr>
        <w:t>The PCR 8-strip tubes used are from LABSELECT, model PST-0208-FT-C, with caps.</w:t>
      </w:r>
    </w:p>
    <w:p w14:paraId="47968E85" w14:textId="6C02C1E6" w:rsidR="002A3727" w:rsidRDefault="002A3727" w:rsidP="00E04608">
      <w:pPr>
        <w:ind w:firstLineChars="200" w:firstLine="420"/>
        <w:rPr>
          <w:rFonts w:ascii="Times" w:hAnsi="Times" w:cs="Times"/>
        </w:rPr>
      </w:pPr>
      <w:r w:rsidRPr="00463355">
        <w:rPr>
          <w:rFonts w:ascii="Times" w:hAnsi="Times" w:cs="Times" w:hint="eastAsia"/>
          <w:b/>
          <w:bCs/>
        </w:rPr>
        <w:t>Complete thermocycling parameters:</w:t>
      </w:r>
      <w:r>
        <w:rPr>
          <w:rFonts w:ascii="Times" w:hAnsi="Times" w:cs="Times" w:hint="eastAsia"/>
        </w:rPr>
        <w:t xml:space="preserve"> </w:t>
      </w:r>
      <w:r w:rsidRPr="0019089D">
        <w:rPr>
          <w:rFonts w:ascii="Times" w:hAnsi="Times" w:cs="Times"/>
        </w:rPr>
        <w:t>The enzyme used is TB Green Premix Ex Taq Ⅱ. The qPCR cycling conditions are as follows: pre-incubation at 95°C for 30 seconds, followed by the PCR amplification stage at 95°C for 5 seconds and 60°C for 30 seconds. This process is repeated for 40 cycles. In the melt curve stage, the conditions are 95°C for 10 seconds, 60°C for 30 seconds, and 95°C for 1 second.</w:t>
      </w:r>
    </w:p>
    <w:p w14:paraId="07BAE020" w14:textId="2C7152B8" w:rsidR="003547D5" w:rsidRDefault="003547D5" w:rsidP="00E04608">
      <w:pPr>
        <w:ind w:firstLineChars="200" w:firstLine="420"/>
        <w:rPr>
          <w:rFonts w:ascii="Times" w:hAnsi="Times" w:cs="Times"/>
        </w:rPr>
      </w:pPr>
      <w:r w:rsidRPr="00463355">
        <w:rPr>
          <w:rFonts w:ascii="Times" w:hAnsi="Times" w:cs="Times" w:hint="eastAsia"/>
          <w:b/>
          <w:bCs/>
        </w:rPr>
        <w:t>Reaction setup (manual/robotic):</w:t>
      </w:r>
      <w:r>
        <w:rPr>
          <w:rFonts w:ascii="Times" w:hAnsi="Times" w:cs="Times" w:hint="eastAsia"/>
        </w:rPr>
        <w:t xml:space="preserve"> </w:t>
      </w:r>
      <w:r w:rsidRPr="003547D5">
        <w:rPr>
          <w:rFonts w:ascii="Times" w:hAnsi="Times" w:cs="Times" w:hint="eastAsia"/>
        </w:rPr>
        <w:t>Manual pipetting of all reagents</w:t>
      </w:r>
    </w:p>
    <w:p w14:paraId="3AFA69A2" w14:textId="27FC626E" w:rsidR="0030260B" w:rsidRDefault="0030260B" w:rsidP="00E04608">
      <w:pPr>
        <w:ind w:firstLineChars="200" w:firstLine="420"/>
        <w:rPr>
          <w:rFonts w:ascii="Times" w:hAnsi="Times" w:cs="Times"/>
        </w:rPr>
      </w:pPr>
      <w:r w:rsidRPr="00463355">
        <w:rPr>
          <w:rFonts w:ascii="Times" w:hAnsi="Times" w:cs="Times" w:hint="eastAsia"/>
          <w:b/>
          <w:bCs/>
        </w:rPr>
        <w:t>Manufacturer of qPCR instrument:</w:t>
      </w:r>
      <w:r>
        <w:rPr>
          <w:rFonts w:ascii="Times" w:hAnsi="Times" w:cs="Times" w:hint="eastAsia"/>
        </w:rPr>
        <w:t xml:space="preserve"> </w:t>
      </w:r>
      <w:proofErr w:type="spellStart"/>
      <w:r>
        <w:rPr>
          <w:rFonts w:ascii="Times" w:hAnsi="Times" w:cs="Times" w:hint="eastAsia"/>
        </w:rPr>
        <w:t>Q</w:t>
      </w:r>
      <w:r w:rsidRPr="0030260B">
        <w:rPr>
          <w:rFonts w:ascii="Times" w:hAnsi="Times" w:cs="Times" w:hint="eastAsia"/>
        </w:rPr>
        <w:t>uantStudio</w:t>
      </w:r>
      <w:proofErr w:type="spellEnd"/>
      <w:r w:rsidRPr="0030260B">
        <w:rPr>
          <w:rFonts w:ascii="Times" w:hAnsi="Times" w:cs="Times" w:hint="eastAsia"/>
        </w:rPr>
        <w:t xml:space="preserve"> Design &amp; Analysis SC Software v1.0.0</w:t>
      </w:r>
    </w:p>
    <w:p w14:paraId="65DCE323" w14:textId="3BFA3C98" w:rsidR="00871EE4" w:rsidRPr="00463355" w:rsidRDefault="00871EE4" w:rsidP="00871EE4">
      <w:pPr>
        <w:rPr>
          <w:rFonts w:ascii="Times" w:hAnsi="Times" w:cs="Times"/>
          <w:b/>
          <w:bCs/>
        </w:rPr>
      </w:pPr>
      <w:r w:rsidRPr="00463355">
        <w:rPr>
          <w:rFonts w:ascii="Times" w:hAnsi="Times" w:cs="Times" w:hint="eastAsia"/>
          <w:b/>
          <w:bCs/>
        </w:rPr>
        <w:t>DATA ANALYSIS</w:t>
      </w:r>
      <w:r w:rsidR="00D82194" w:rsidRPr="00463355">
        <w:rPr>
          <w:rFonts w:ascii="Times" w:hAnsi="Times" w:cs="Times" w:hint="eastAsia"/>
          <w:b/>
          <w:bCs/>
        </w:rPr>
        <w:t>.</w:t>
      </w:r>
    </w:p>
    <w:p w14:paraId="518DDFD1" w14:textId="3A471F2A" w:rsidR="00871EE4" w:rsidRDefault="00463355" w:rsidP="00871EE4">
      <w:pPr>
        <w:ind w:firstLineChars="200" w:firstLine="420"/>
        <w:rPr>
          <w:rFonts w:ascii="Times" w:hAnsi="Times" w:cs="Times"/>
        </w:rPr>
      </w:pPr>
      <w:r w:rsidRPr="00463355">
        <w:rPr>
          <w:rFonts w:ascii="Times" w:hAnsi="Times" w:cs="Times" w:hint="eastAsia"/>
          <w:b/>
          <w:bCs/>
        </w:rPr>
        <w:t>qPCR analysis program (source, version)</w:t>
      </w:r>
      <w:r w:rsidRPr="00463355">
        <w:rPr>
          <w:rFonts w:ascii="Times" w:hAnsi="Times" w:cs="Times" w:hint="eastAsia"/>
          <w:b/>
          <w:bCs/>
        </w:rPr>
        <w:t>:</w:t>
      </w:r>
      <w:r>
        <w:rPr>
          <w:rFonts w:ascii="Times" w:hAnsi="Times" w:cs="Times" w:hint="eastAsia"/>
        </w:rPr>
        <w:t xml:space="preserve"> </w:t>
      </w:r>
      <w:r w:rsidR="00871EE4" w:rsidRPr="00871EE4">
        <w:rPr>
          <w:rFonts w:ascii="Times" w:hAnsi="Times" w:cs="Times" w:hint="eastAsia"/>
        </w:rPr>
        <w:t xml:space="preserve">Using </w:t>
      </w:r>
      <w:proofErr w:type="spellStart"/>
      <w:r w:rsidR="00871EE4" w:rsidRPr="00871EE4">
        <w:rPr>
          <w:rFonts w:ascii="Times" w:hAnsi="Times" w:cs="Times" w:hint="eastAsia"/>
        </w:rPr>
        <w:t>QuantStudio</w:t>
      </w:r>
      <w:proofErr w:type="spellEnd"/>
      <w:r w:rsidR="00871EE4" w:rsidRPr="00871EE4">
        <w:rPr>
          <w:rFonts w:ascii="Times" w:hAnsi="Times" w:cs="Times" w:hint="eastAsia"/>
        </w:rPr>
        <w:t xml:space="preserve"> Design &amp; Analysis SC Software v1.0.0, provided by Applied Biosystems (by </w:t>
      </w:r>
      <w:proofErr w:type="spellStart"/>
      <w:r w:rsidR="00871EE4" w:rsidRPr="00871EE4">
        <w:rPr>
          <w:rFonts w:ascii="Times" w:hAnsi="Times" w:cs="Times" w:hint="eastAsia"/>
        </w:rPr>
        <w:t>Thermo</w:t>
      </w:r>
      <w:proofErr w:type="spellEnd"/>
      <w:r w:rsidR="00871EE4" w:rsidRPr="00871EE4">
        <w:rPr>
          <w:rFonts w:ascii="Times" w:hAnsi="Times" w:cs="Times" w:hint="eastAsia"/>
        </w:rPr>
        <w:t xml:space="preserve"> Fisher Scientific).</w:t>
      </w:r>
    </w:p>
    <w:p w14:paraId="44DBB6A2" w14:textId="5AD17067" w:rsidR="00D82194" w:rsidRDefault="00D82194" w:rsidP="00871EE4">
      <w:pPr>
        <w:ind w:firstLineChars="200" w:firstLine="420"/>
        <w:rPr>
          <w:rFonts w:ascii="Times" w:hAnsi="Times" w:cs="Times"/>
        </w:rPr>
      </w:pPr>
      <w:proofErr w:type="spellStart"/>
      <w:r w:rsidRPr="00463355">
        <w:rPr>
          <w:rFonts w:ascii="Times" w:hAnsi="Times" w:cs="Times" w:hint="eastAsia"/>
          <w:b/>
          <w:bCs/>
        </w:rPr>
        <w:t>Cq</w:t>
      </w:r>
      <w:proofErr w:type="spellEnd"/>
      <w:r w:rsidRPr="00463355">
        <w:rPr>
          <w:rFonts w:ascii="Times" w:hAnsi="Times" w:cs="Times" w:hint="eastAsia"/>
          <w:b/>
          <w:bCs/>
        </w:rPr>
        <w:t xml:space="preserve"> method determination</w:t>
      </w:r>
      <w:r w:rsidRPr="00463355">
        <w:rPr>
          <w:rFonts w:ascii="Times" w:hAnsi="Times" w:cs="Times" w:hint="eastAsia"/>
          <w:b/>
          <w:bCs/>
        </w:rPr>
        <w:t>:</w:t>
      </w:r>
      <w:r>
        <w:rPr>
          <w:rFonts w:ascii="Times" w:hAnsi="Times" w:cs="Times" w:hint="eastAsia"/>
        </w:rPr>
        <w:t xml:space="preserve"> </w:t>
      </w:r>
      <w:r w:rsidRPr="00D82194">
        <w:rPr>
          <w:rFonts w:ascii="Times" w:hAnsi="Times" w:cs="Times"/>
        </w:rPr>
        <w:t>Threshold Method</w:t>
      </w:r>
    </w:p>
    <w:p w14:paraId="43B0E58C" w14:textId="2C401E35" w:rsidR="00D82194" w:rsidRDefault="00D82194" w:rsidP="00871EE4">
      <w:pPr>
        <w:ind w:firstLineChars="200" w:firstLine="420"/>
        <w:rPr>
          <w:rFonts w:ascii="Times" w:hAnsi="Times" w:cs="Times"/>
        </w:rPr>
      </w:pPr>
      <w:r w:rsidRPr="00463355">
        <w:rPr>
          <w:rFonts w:ascii="Times" w:hAnsi="Times" w:cs="Times" w:hint="eastAsia"/>
          <w:b/>
          <w:bCs/>
        </w:rPr>
        <w:t>Outlier identification and disposition</w:t>
      </w:r>
      <w:r w:rsidRPr="00463355">
        <w:rPr>
          <w:rFonts w:ascii="Times" w:hAnsi="Times" w:cs="Times" w:hint="eastAsia"/>
          <w:b/>
          <w:bCs/>
        </w:rPr>
        <w:t>:</w:t>
      </w:r>
      <w:r>
        <w:rPr>
          <w:rFonts w:ascii="Times" w:hAnsi="Times" w:cs="Times" w:hint="eastAsia"/>
        </w:rPr>
        <w:t xml:space="preserve"> </w:t>
      </w:r>
      <w:r w:rsidRPr="00D82194">
        <w:rPr>
          <w:rFonts w:ascii="Times" w:hAnsi="Times" w:cs="Times" w:hint="eastAsia"/>
        </w:rPr>
        <w:t>Each gene was tested in 6 experiments, and the 3 normal data points with the smallest standard deviation were selected for analysis.</w:t>
      </w:r>
    </w:p>
    <w:p w14:paraId="29268FBB" w14:textId="7C06ED4B" w:rsidR="005804A2" w:rsidRDefault="005804A2" w:rsidP="00871EE4">
      <w:pPr>
        <w:ind w:firstLineChars="200" w:firstLine="420"/>
        <w:rPr>
          <w:rFonts w:ascii="Times" w:hAnsi="Times" w:cs="Times"/>
        </w:rPr>
      </w:pPr>
      <w:r w:rsidRPr="00463355">
        <w:rPr>
          <w:rFonts w:ascii="Times" w:hAnsi="Times" w:cs="Times" w:hint="eastAsia"/>
          <w:b/>
          <w:bCs/>
        </w:rPr>
        <w:t>Justification of number and choice of reference genes</w:t>
      </w:r>
      <w:r w:rsidRPr="00463355">
        <w:rPr>
          <w:rFonts w:ascii="Times" w:hAnsi="Times" w:cs="Times" w:hint="eastAsia"/>
          <w:b/>
          <w:bCs/>
        </w:rPr>
        <w:t>:</w:t>
      </w:r>
      <w:r>
        <w:rPr>
          <w:rFonts w:ascii="Times" w:hAnsi="Times" w:cs="Times" w:hint="eastAsia"/>
        </w:rPr>
        <w:t xml:space="preserve"> </w:t>
      </w:r>
      <w:r w:rsidRPr="005804A2">
        <w:rPr>
          <w:rFonts w:ascii="Times" w:hAnsi="Times" w:cs="Times"/>
        </w:rPr>
        <w:t>β-actin was chosen as the reference gene due to its stable expression in the roots, stems, and leaves of various species.</w:t>
      </w:r>
    </w:p>
    <w:p w14:paraId="5BFB9F85" w14:textId="55835849" w:rsidR="00C04E3D" w:rsidRPr="00871EE4" w:rsidRDefault="00FA744B" w:rsidP="00463355">
      <w:pPr>
        <w:ind w:firstLineChars="200" w:firstLine="420"/>
        <w:rPr>
          <w:rFonts w:ascii="Times" w:hAnsi="Times" w:cs="Times" w:hint="eastAsia"/>
        </w:rPr>
      </w:pPr>
      <w:r w:rsidRPr="00463355">
        <w:rPr>
          <w:rFonts w:ascii="Times" w:hAnsi="Times" w:cs="Times" w:hint="eastAsia"/>
          <w:b/>
          <w:bCs/>
        </w:rPr>
        <w:t>Software (source, version)</w:t>
      </w:r>
      <w:r w:rsidRPr="00463355">
        <w:rPr>
          <w:rFonts w:ascii="Times" w:hAnsi="Times" w:cs="Times" w:hint="eastAsia"/>
          <w:b/>
          <w:bCs/>
        </w:rPr>
        <w:t>:</w:t>
      </w:r>
      <w:r>
        <w:rPr>
          <w:rFonts w:ascii="Times" w:hAnsi="Times" w:cs="Times" w:hint="eastAsia"/>
        </w:rPr>
        <w:t xml:space="preserve"> </w:t>
      </w:r>
      <w:r w:rsidRPr="0030260B">
        <w:rPr>
          <w:rFonts w:ascii="Times" w:hAnsi="Times" w:cs="Times" w:hint="eastAsia"/>
        </w:rPr>
        <w:t>Manufacturer of qPCR instrument</w:t>
      </w:r>
      <w:r>
        <w:rPr>
          <w:rFonts w:ascii="Times" w:hAnsi="Times" w:cs="Times" w:hint="eastAsia"/>
        </w:rPr>
        <w:t xml:space="preserve">: </w:t>
      </w:r>
      <w:proofErr w:type="spellStart"/>
      <w:r>
        <w:rPr>
          <w:rFonts w:ascii="Times" w:hAnsi="Times" w:cs="Times" w:hint="eastAsia"/>
        </w:rPr>
        <w:t>Q</w:t>
      </w:r>
      <w:r w:rsidRPr="0030260B">
        <w:rPr>
          <w:rFonts w:ascii="Times" w:hAnsi="Times" w:cs="Times" w:hint="eastAsia"/>
        </w:rPr>
        <w:t>uantStudio</w:t>
      </w:r>
      <w:proofErr w:type="spellEnd"/>
      <w:r w:rsidRPr="0030260B">
        <w:rPr>
          <w:rFonts w:ascii="Times" w:hAnsi="Times" w:cs="Times" w:hint="eastAsia"/>
        </w:rPr>
        <w:t xml:space="preserve"> Design &amp; Analysis SC Software v1.0.0</w:t>
      </w:r>
    </w:p>
    <w:sectPr w:rsidR="00C04E3D" w:rsidRPr="00871E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612C2" w14:textId="77777777" w:rsidR="0029591E" w:rsidRDefault="0029591E" w:rsidP="000505C5">
      <w:pPr>
        <w:rPr>
          <w:rFonts w:hint="eastAsia"/>
        </w:rPr>
      </w:pPr>
      <w:r>
        <w:separator/>
      </w:r>
    </w:p>
  </w:endnote>
  <w:endnote w:type="continuationSeparator" w:id="0">
    <w:p w14:paraId="125A6A70" w14:textId="77777777" w:rsidR="0029591E" w:rsidRDefault="0029591E" w:rsidP="000505C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BE7D6" w14:textId="77777777" w:rsidR="0029591E" w:rsidRDefault="0029591E" w:rsidP="000505C5">
      <w:pPr>
        <w:rPr>
          <w:rFonts w:hint="eastAsia"/>
        </w:rPr>
      </w:pPr>
      <w:r>
        <w:separator/>
      </w:r>
    </w:p>
  </w:footnote>
  <w:footnote w:type="continuationSeparator" w:id="0">
    <w:p w14:paraId="604D4C5A" w14:textId="77777777" w:rsidR="0029591E" w:rsidRDefault="0029591E" w:rsidP="000505C5">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147A2"/>
    <w:rsid w:val="00037156"/>
    <w:rsid w:val="000505C5"/>
    <w:rsid w:val="000B5BE2"/>
    <w:rsid w:val="000F28A9"/>
    <w:rsid w:val="0019089D"/>
    <w:rsid w:val="001C4BF1"/>
    <w:rsid w:val="00221F5B"/>
    <w:rsid w:val="00245E70"/>
    <w:rsid w:val="0029591E"/>
    <w:rsid w:val="002A3727"/>
    <w:rsid w:val="002A7B5F"/>
    <w:rsid w:val="002D3905"/>
    <w:rsid w:val="002E2D20"/>
    <w:rsid w:val="0030260B"/>
    <w:rsid w:val="003547D5"/>
    <w:rsid w:val="003844B8"/>
    <w:rsid w:val="003A09DA"/>
    <w:rsid w:val="003F058F"/>
    <w:rsid w:val="00426B6D"/>
    <w:rsid w:val="00463355"/>
    <w:rsid w:val="004B6098"/>
    <w:rsid w:val="004E553F"/>
    <w:rsid w:val="004E7813"/>
    <w:rsid w:val="0051521C"/>
    <w:rsid w:val="00555F09"/>
    <w:rsid w:val="005804A2"/>
    <w:rsid w:val="0058664C"/>
    <w:rsid w:val="005A2E75"/>
    <w:rsid w:val="005C0B80"/>
    <w:rsid w:val="005D4EC0"/>
    <w:rsid w:val="005E3DB6"/>
    <w:rsid w:val="005F592E"/>
    <w:rsid w:val="00614E9B"/>
    <w:rsid w:val="0064539C"/>
    <w:rsid w:val="0064624F"/>
    <w:rsid w:val="00671120"/>
    <w:rsid w:val="00681ECA"/>
    <w:rsid w:val="006C486F"/>
    <w:rsid w:val="006D6390"/>
    <w:rsid w:val="00750D11"/>
    <w:rsid w:val="00766D97"/>
    <w:rsid w:val="00770A10"/>
    <w:rsid w:val="007752D4"/>
    <w:rsid w:val="007A20E5"/>
    <w:rsid w:val="008259B2"/>
    <w:rsid w:val="00852985"/>
    <w:rsid w:val="00871EE4"/>
    <w:rsid w:val="00895F6F"/>
    <w:rsid w:val="00972D0B"/>
    <w:rsid w:val="00973527"/>
    <w:rsid w:val="009D67AB"/>
    <w:rsid w:val="009D7E4D"/>
    <w:rsid w:val="009F2D32"/>
    <w:rsid w:val="00A54ADA"/>
    <w:rsid w:val="00AA405B"/>
    <w:rsid w:val="00AD21A7"/>
    <w:rsid w:val="00AF292D"/>
    <w:rsid w:val="00BB21B1"/>
    <w:rsid w:val="00BB5C1C"/>
    <w:rsid w:val="00BD4807"/>
    <w:rsid w:val="00BE626A"/>
    <w:rsid w:val="00C04E3D"/>
    <w:rsid w:val="00C147A2"/>
    <w:rsid w:val="00C87FD4"/>
    <w:rsid w:val="00CC51EF"/>
    <w:rsid w:val="00D42749"/>
    <w:rsid w:val="00D471BC"/>
    <w:rsid w:val="00D56E8B"/>
    <w:rsid w:val="00D82194"/>
    <w:rsid w:val="00E043C6"/>
    <w:rsid w:val="00E04608"/>
    <w:rsid w:val="00E06C4B"/>
    <w:rsid w:val="00E21F94"/>
    <w:rsid w:val="00E40866"/>
    <w:rsid w:val="00E7095A"/>
    <w:rsid w:val="00EF36B8"/>
    <w:rsid w:val="00F01C2C"/>
    <w:rsid w:val="00F71481"/>
    <w:rsid w:val="00FA744B"/>
    <w:rsid w:val="00FB4486"/>
    <w:rsid w:val="00FB5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07D0B"/>
  <w15:chartTrackingRefBased/>
  <w15:docId w15:val="{73140A81-7179-4B4B-B67A-AC03D4B97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744B"/>
    <w:pPr>
      <w:widowControl w:val="0"/>
      <w:jc w:val="both"/>
    </w:pPr>
  </w:style>
  <w:style w:type="paragraph" w:styleId="1">
    <w:name w:val="heading 1"/>
    <w:basedOn w:val="a"/>
    <w:next w:val="a"/>
    <w:link w:val="10"/>
    <w:uiPriority w:val="9"/>
    <w:qFormat/>
    <w:rsid w:val="00C147A2"/>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C147A2"/>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C147A2"/>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C147A2"/>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C147A2"/>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C147A2"/>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C147A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147A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147A2"/>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147A2"/>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C147A2"/>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C147A2"/>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C147A2"/>
    <w:rPr>
      <w:rFonts w:cstheme="majorBidi"/>
      <w:color w:val="2F5496" w:themeColor="accent1" w:themeShade="BF"/>
      <w:sz w:val="28"/>
      <w:szCs w:val="28"/>
    </w:rPr>
  </w:style>
  <w:style w:type="character" w:customStyle="1" w:styleId="50">
    <w:name w:val="标题 5 字符"/>
    <w:basedOn w:val="a0"/>
    <w:link w:val="5"/>
    <w:uiPriority w:val="9"/>
    <w:semiHidden/>
    <w:rsid w:val="00C147A2"/>
    <w:rPr>
      <w:rFonts w:cstheme="majorBidi"/>
      <w:color w:val="2F5496" w:themeColor="accent1" w:themeShade="BF"/>
      <w:sz w:val="24"/>
      <w:szCs w:val="24"/>
    </w:rPr>
  </w:style>
  <w:style w:type="character" w:customStyle="1" w:styleId="60">
    <w:name w:val="标题 6 字符"/>
    <w:basedOn w:val="a0"/>
    <w:link w:val="6"/>
    <w:uiPriority w:val="9"/>
    <w:semiHidden/>
    <w:rsid w:val="00C147A2"/>
    <w:rPr>
      <w:rFonts w:cstheme="majorBidi"/>
      <w:b/>
      <w:bCs/>
      <w:color w:val="2F5496" w:themeColor="accent1" w:themeShade="BF"/>
    </w:rPr>
  </w:style>
  <w:style w:type="character" w:customStyle="1" w:styleId="70">
    <w:name w:val="标题 7 字符"/>
    <w:basedOn w:val="a0"/>
    <w:link w:val="7"/>
    <w:uiPriority w:val="9"/>
    <w:semiHidden/>
    <w:rsid w:val="00C147A2"/>
    <w:rPr>
      <w:rFonts w:cstheme="majorBidi"/>
      <w:b/>
      <w:bCs/>
      <w:color w:val="595959" w:themeColor="text1" w:themeTint="A6"/>
    </w:rPr>
  </w:style>
  <w:style w:type="character" w:customStyle="1" w:styleId="80">
    <w:name w:val="标题 8 字符"/>
    <w:basedOn w:val="a0"/>
    <w:link w:val="8"/>
    <w:uiPriority w:val="9"/>
    <w:semiHidden/>
    <w:rsid w:val="00C147A2"/>
    <w:rPr>
      <w:rFonts w:cstheme="majorBidi"/>
      <w:color w:val="595959" w:themeColor="text1" w:themeTint="A6"/>
    </w:rPr>
  </w:style>
  <w:style w:type="character" w:customStyle="1" w:styleId="90">
    <w:name w:val="标题 9 字符"/>
    <w:basedOn w:val="a0"/>
    <w:link w:val="9"/>
    <w:uiPriority w:val="9"/>
    <w:semiHidden/>
    <w:rsid w:val="00C147A2"/>
    <w:rPr>
      <w:rFonts w:eastAsiaTheme="majorEastAsia" w:cstheme="majorBidi"/>
      <w:color w:val="595959" w:themeColor="text1" w:themeTint="A6"/>
    </w:rPr>
  </w:style>
  <w:style w:type="paragraph" w:styleId="a3">
    <w:name w:val="Title"/>
    <w:basedOn w:val="a"/>
    <w:next w:val="a"/>
    <w:link w:val="a4"/>
    <w:uiPriority w:val="10"/>
    <w:qFormat/>
    <w:rsid w:val="00C147A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147A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147A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147A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147A2"/>
    <w:pPr>
      <w:spacing w:before="160" w:after="160"/>
      <w:jc w:val="center"/>
    </w:pPr>
    <w:rPr>
      <w:i/>
      <w:iCs/>
      <w:color w:val="404040" w:themeColor="text1" w:themeTint="BF"/>
    </w:rPr>
  </w:style>
  <w:style w:type="character" w:customStyle="1" w:styleId="a8">
    <w:name w:val="引用 字符"/>
    <w:basedOn w:val="a0"/>
    <w:link w:val="a7"/>
    <w:uiPriority w:val="29"/>
    <w:rsid w:val="00C147A2"/>
    <w:rPr>
      <w:i/>
      <w:iCs/>
      <w:color w:val="404040" w:themeColor="text1" w:themeTint="BF"/>
    </w:rPr>
  </w:style>
  <w:style w:type="paragraph" w:styleId="a9">
    <w:name w:val="List Paragraph"/>
    <w:basedOn w:val="a"/>
    <w:uiPriority w:val="34"/>
    <w:qFormat/>
    <w:rsid w:val="00C147A2"/>
    <w:pPr>
      <w:ind w:left="720"/>
      <w:contextualSpacing/>
    </w:pPr>
  </w:style>
  <w:style w:type="character" w:styleId="aa">
    <w:name w:val="Intense Emphasis"/>
    <w:basedOn w:val="a0"/>
    <w:uiPriority w:val="21"/>
    <w:qFormat/>
    <w:rsid w:val="00C147A2"/>
    <w:rPr>
      <w:i/>
      <w:iCs/>
      <w:color w:val="2F5496" w:themeColor="accent1" w:themeShade="BF"/>
    </w:rPr>
  </w:style>
  <w:style w:type="paragraph" w:styleId="ab">
    <w:name w:val="Intense Quote"/>
    <w:basedOn w:val="a"/>
    <w:next w:val="a"/>
    <w:link w:val="ac"/>
    <w:uiPriority w:val="30"/>
    <w:qFormat/>
    <w:rsid w:val="00C147A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C147A2"/>
    <w:rPr>
      <w:i/>
      <w:iCs/>
      <w:color w:val="2F5496" w:themeColor="accent1" w:themeShade="BF"/>
    </w:rPr>
  </w:style>
  <w:style w:type="character" w:styleId="ad">
    <w:name w:val="Intense Reference"/>
    <w:basedOn w:val="a0"/>
    <w:uiPriority w:val="32"/>
    <w:qFormat/>
    <w:rsid w:val="00C147A2"/>
    <w:rPr>
      <w:b/>
      <w:bCs/>
      <w:smallCaps/>
      <w:color w:val="2F5496" w:themeColor="accent1" w:themeShade="BF"/>
      <w:spacing w:val="5"/>
    </w:rPr>
  </w:style>
  <w:style w:type="paragraph" w:styleId="ae">
    <w:name w:val="header"/>
    <w:basedOn w:val="a"/>
    <w:link w:val="af"/>
    <w:uiPriority w:val="99"/>
    <w:unhideWhenUsed/>
    <w:rsid w:val="000505C5"/>
    <w:pPr>
      <w:tabs>
        <w:tab w:val="center" w:pos="4153"/>
        <w:tab w:val="right" w:pos="8306"/>
      </w:tabs>
      <w:snapToGrid w:val="0"/>
      <w:jc w:val="center"/>
    </w:pPr>
    <w:rPr>
      <w:sz w:val="18"/>
      <w:szCs w:val="18"/>
    </w:rPr>
  </w:style>
  <w:style w:type="character" w:customStyle="1" w:styleId="af">
    <w:name w:val="页眉 字符"/>
    <w:basedOn w:val="a0"/>
    <w:link w:val="ae"/>
    <w:uiPriority w:val="99"/>
    <w:rsid w:val="000505C5"/>
    <w:rPr>
      <w:sz w:val="18"/>
      <w:szCs w:val="18"/>
    </w:rPr>
  </w:style>
  <w:style w:type="paragraph" w:styleId="af0">
    <w:name w:val="footer"/>
    <w:basedOn w:val="a"/>
    <w:link w:val="af1"/>
    <w:uiPriority w:val="99"/>
    <w:unhideWhenUsed/>
    <w:rsid w:val="000505C5"/>
    <w:pPr>
      <w:tabs>
        <w:tab w:val="center" w:pos="4153"/>
        <w:tab w:val="right" w:pos="8306"/>
      </w:tabs>
      <w:snapToGrid w:val="0"/>
      <w:jc w:val="left"/>
    </w:pPr>
    <w:rPr>
      <w:sz w:val="18"/>
      <w:szCs w:val="18"/>
    </w:rPr>
  </w:style>
  <w:style w:type="character" w:customStyle="1" w:styleId="af1">
    <w:name w:val="页脚 字符"/>
    <w:basedOn w:val="a0"/>
    <w:link w:val="af0"/>
    <w:uiPriority w:val="99"/>
    <w:rsid w:val="000505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187577">
      <w:bodyDiv w:val="1"/>
      <w:marLeft w:val="0"/>
      <w:marRight w:val="0"/>
      <w:marTop w:val="0"/>
      <w:marBottom w:val="0"/>
      <w:divBdr>
        <w:top w:val="none" w:sz="0" w:space="0" w:color="auto"/>
        <w:left w:val="none" w:sz="0" w:space="0" w:color="auto"/>
        <w:bottom w:val="none" w:sz="0" w:space="0" w:color="auto"/>
        <w:right w:val="none" w:sz="0" w:space="0" w:color="auto"/>
      </w:divBdr>
    </w:div>
    <w:div w:id="1104037246">
      <w:bodyDiv w:val="1"/>
      <w:marLeft w:val="0"/>
      <w:marRight w:val="0"/>
      <w:marTop w:val="0"/>
      <w:marBottom w:val="0"/>
      <w:divBdr>
        <w:top w:val="none" w:sz="0" w:space="0" w:color="auto"/>
        <w:left w:val="none" w:sz="0" w:space="0" w:color="auto"/>
        <w:bottom w:val="none" w:sz="0" w:space="0" w:color="auto"/>
        <w:right w:val="none" w:sz="0" w:space="0" w:color="auto"/>
      </w:divBdr>
    </w:div>
    <w:div w:id="17409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5598</TotalTime>
  <Pages>2</Pages>
  <Words>902</Words>
  <Characters>5144</Characters>
  <Application>Microsoft Office Word</Application>
  <DocSecurity>0</DocSecurity>
  <Lines>42</Lines>
  <Paragraphs>12</Paragraphs>
  <ScaleCrop>false</ScaleCrop>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鹏 彭</dc:creator>
  <cp:keywords/>
  <dc:description/>
  <cp:lastModifiedBy>鹏 彭</cp:lastModifiedBy>
  <cp:revision>94</cp:revision>
  <dcterms:created xsi:type="dcterms:W3CDTF">2025-04-05T11:01:00Z</dcterms:created>
  <dcterms:modified xsi:type="dcterms:W3CDTF">2025-04-13T16:18:00Z</dcterms:modified>
</cp:coreProperties>
</file>