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47E1" w:rsidRDefault="00F34F78">
      <w:r>
        <w:t>Supplementary Table 2: List of excluded studies with reasons and references</w:t>
      </w:r>
    </w:p>
    <w:p w:rsidR="00F34F78" w:rsidRDefault="00F34F78"/>
    <w:tbl>
      <w:tblPr>
        <w:tblStyle w:val="TableGrid"/>
        <w:tblW w:w="0" w:type="auto"/>
        <w:tblLook w:val="04A0" w:firstRow="1" w:lastRow="0" w:firstColumn="1" w:lastColumn="0" w:noHBand="0" w:noVBand="1"/>
      </w:tblPr>
      <w:tblGrid>
        <w:gridCol w:w="3964"/>
        <w:gridCol w:w="4505"/>
      </w:tblGrid>
      <w:tr w:rsidR="00F34F78" w:rsidTr="00F34F78">
        <w:tc>
          <w:tcPr>
            <w:tcW w:w="3964" w:type="dxa"/>
          </w:tcPr>
          <w:p w:rsidR="00F34F78" w:rsidRDefault="00F34F78">
            <w:r>
              <w:t>Excluded study</w:t>
            </w:r>
          </w:p>
        </w:tc>
        <w:tc>
          <w:tcPr>
            <w:tcW w:w="4505" w:type="dxa"/>
          </w:tcPr>
          <w:p w:rsidR="00F34F78" w:rsidRDefault="00F34F78">
            <w:r>
              <w:t>Reason</w:t>
            </w:r>
          </w:p>
        </w:tc>
      </w:tr>
      <w:tr w:rsidR="00F34F78" w:rsidTr="00F34F78">
        <w:tc>
          <w:tcPr>
            <w:tcW w:w="3964" w:type="dxa"/>
          </w:tcPr>
          <w:p w:rsidR="00F34F78" w:rsidRDefault="00E17305">
            <w:r>
              <w:t>Lopez-Jaramillo et al</w:t>
            </w:r>
            <w:r>
              <w:fldChar w:fldCharType="begin" w:fldLock="1"/>
            </w:r>
            <w:r>
              <w:instrText>ADDIN CSL_CITATION {"citationItems":[{"id":"ITEM-1","itemData":{"DOI":"10.1016/S2666-7568(22)00247-1","ISSN":"26667568","abstract":"Background: The triglyceride glucose (TyG) index is an easily accessible surrogate marker of insulin resistance, an important pathway in the development of type 2 diabetes and cardiovascular diseases. However, the association of the TyG index with cardiovascular diseases and mortality has mainly been investigated in Asia, with few data available from other regions of the world. We assessed the association of insulin resistance (as determined by the TyG index) with mortality and cardiovascular diseases in individuals from five continents at different levels of economic development, living in urban or rural areas. We also examined whether the associations differed according to the country's economical development. Methods: We used the TyG index as a surrogate measure for insulin resistance. Fasting triglycerides and fasting plasma glucose were measured at the baseline visit in 141 243 individuals aged 35–70 years from 22 countries in the Prospective Urban Rural Epidemiology (PURE) study. The TyG index was calculated as Ln (fasting triglycerides [mg/dL] x fasting plasma glucose [mg/dL]/2). We calculated hazard ratios (HRs) using a multivariable Cox frailty model with random effects to test the associations between the TyG index and risk of cardiovascular diseases and mortality. The primary outcome of this analysis was the composite of mortality or major cardiovascular events (defined as death from cardiovascular causes, and non-fatal myocardial infarction, or stroke). Secondary outcomes were non-cardiovascular mortality, cardiovascular mortality, all myocardial infarctions, stroke, and incident diabetes. We also did subgroup analyses to examine the magnitude of associations between insulin resistance (ie, the TyG index) and outcome events according to the income level of the countries. Findings: During a median follow-up of 13·2 years (IQR 11·9–14·6), we recorded 6345 composite cardiovascular diseases events, 2030 cardiovascular deaths, 3038 cases of myocardial infarction, 3291 cases of stroke, and 5191 incident cases of type 2 diabetes. After adjusting for all other variables, the risk of developing cardiovascular diseases increased across tertiles of the baseline TyG index. Compared with the lowest tertile of the TyG index, the highest tertile (tertile 3) was associated with a greater incidence of the composite outcome (HR 1·21; 95% CI 1·13–1·30), myocardial infarction (1·24; 1·12–1·38), stroke (1·16; 1·05–1·28), and incident type 2 diabetes (1·99; 1·82–…","author":[{"dropping-particle":"","family":"Lopez-Jaramillo","given":"Patricio","non-dropping-particle":"","parse-names":false,"suffix":""},{"dropping-particle":"","family":"Gomez-Arbelaez","given":"Diego","non-dropping-particle":"","parse-names":false,"suffix":""},{"dropping-particle":"","family":"Martinez-Bello","given":"Daniel","non-dropping-particle":"","parse-names":false,"suffix":""},{"dropping-particle":"","family":"Abat","given":"Marc Evans M.","non-dropping-particle":"","parse-names":false,"suffix":""},{"dropping-particle":"","family":"Alhabib","given":"Khalid F.","non-dropping-particle":"","parse-names":false,"suffix":""},{"dropping-particle":"","family":"Avezum","given":"Álvaro","non-dropping-particle":"","parse-names":false,"suffix":""},{"dropping-particle":"","family":"Barbarash","given":"Olga","non-dropping-particle":"","parse-names":false,"suffix":""},{"dropping-particle":"","family":"Chifamba","given":"Jephat","non-dropping-particle":"","parse-names":false,"suffix":""},{"dropping-particle":"","family":"Diaz","given":"Maria L.","non-dropping-particle":"","parse-names":false,"suffix":""},{"dropping-particle":"","family":"Gulec","given":"Sadi","non-dropping-particle":"","parse-names":false,"suffix":""},{"dropping-particle":"","family":"Ismail","given":"Noorhassim","non-dropping-particle":"","parse-names":false,"suffix":""},{"dropping-particle":"","family":"Iqbal","given":"Romaina","non-dropping-particle":"","parse-names":false,"suffix":""},{"dropping-particle":"","family":"Kelishadi","given":"Roya","non-dropping-particle":"","parse-names":false,"suffix":""},{"dropping-particle":"","family":"Khatib","given":"Rasha","non-dropping-particle":"","parse-names":false,"suffix":""},{"dropping-particle":"","family":"Lanas","given":"Fernando","non-dropping-particle":"","parse-names":false,"suffix":""},{"dropping-particle":"","family":"Levitt","given":"Naomi S.","non-dropping-particle":"","parse-names":false,"suffix":""},{"dropping-particle":"","family":"Li","given":"Yang","non-dropping-particle":"","parse-names":false,"suffix":""},{"dropping-particle":"","family":"Mohan","given":"Viswanathan","non-dropping-particle":"","parse-names":false,"suffix":""},{"dropping-particle":"","family":"Mony","given":"Prem K.","non-dropping-particle":"","parse-names":false,"suffix":""},{"dropping-particle":"","family":"Poirier","given":"Paul","non-dropping-particle":"","parse-names":false,"suffix":""},{"dropping-particle":"","family":"Rosengren","given":"Annika","non-dropping-particle":"","parse-names":false,"suffix":""},{"dropping-particle":"","family":"Soman","given":"Biju","non-dropping-particle":"","parse-names":false,"suffix":""},{"dropping-particle":"","family":"Wang","given":"Chuangshi","non-dropping-particle":"","parse-names":false,"suffix":""},{"dropping-particle":"","family":"Wang","given":"Yang","non-dropping-particle":"","parse-names":false,"suffix":""},{"dropping-particle":"","family":"Yeates","given":"Karen","non-dropping-particle":"","parse-names":false,"suffix":""},{"dropping-particle":"","family":"Yusuf","given":"Rita","non-dropping-particle":"","parse-names":false,"suffix":""},{"dropping-particle":"","family":"Yusufali","given":"Afzalhussein","non-dropping-particle":"","parse-names":false,"suffix":""},{"dropping-particle":"","family":"Zatonska","given":"Katarzyna","non-dropping-particle":"","parse-names":false,"suffix":""},{"dropping-particle":"","family":"Rangarajan","given":"Sumathy","non-dropping-particle":"","parse-names":false,"suffix":""},{"dropping-particle":"","family":"Yusuf","given":"Salim","non-dropping-particle":"","parse-names":false,"suffix":""}],"container-title":"The Lancet Healthy Longevity","id":"ITEM-1","issue":"1","issued":{"date-parts":[["2023"]]},"page":"e23-e33","title":"Association of the triglyceride glucose index as a measure of insulin resistance with mortality and cardiovascular disease in populations from five continents (PURE study): a prospective cohort study","type":"article-journal","volume":"4"},"uris":["http://www.mendeley.com/documents/?uuid=4a48594b-4865-474a-bf28-fc8859d273af"]}],"mendeley":{"formattedCitation":"[1]","plainTextFormattedCitation":"[1]","previouslyFormattedCitation":"[1]"},"properties":{"noteIndex":0},"schema":"https://github.com/citation-style-language/schema/raw/master/csl-citation.json"}</w:instrText>
            </w:r>
            <w:r>
              <w:fldChar w:fldCharType="separate"/>
            </w:r>
            <w:r w:rsidRPr="00E17305">
              <w:rPr>
                <w:noProof/>
              </w:rPr>
              <w:t>[1]</w:t>
            </w:r>
            <w:r>
              <w:fldChar w:fldCharType="end"/>
            </w:r>
          </w:p>
        </w:tc>
        <w:tc>
          <w:tcPr>
            <w:tcW w:w="4505" w:type="dxa"/>
          </w:tcPr>
          <w:p w:rsidR="00F34F78" w:rsidRDefault="00F34F78">
            <w:r>
              <w:t>Including prior stroke</w:t>
            </w:r>
          </w:p>
        </w:tc>
      </w:tr>
      <w:tr w:rsidR="00F34F78" w:rsidTr="00F34F78">
        <w:tc>
          <w:tcPr>
            <w:tcW w:w="3964" w:type="dxa"/>
          </w:tcPr>
          <w:p w:rsidR="00F34F78" w:rsidRDefault="00E17305" w:rsidP="00F34F78">
            <w:r>
              <w:t>Huang et al</w:t>
            </w:r>
            <w:r>
              <w:fldChar w:fldCharType="begin" w:fldLock="1"/>
            </w:r>
            <w:r>
              <w:instrText>ADDIN CSL_CITATION {"citationItems":[{"id":"ITEM-1","itemData":{"DOI":"10.3389/fendo.2023.1266552","ISSN":"16642392","abstract":"Background: Several easily and inexpensively measured indicators of visceral adiposity dysfunction are currently available, but it remains unclear whether they are correlated with stroke risk in the community-dwelling population. We aimed to examine the longitudinal association of the triglyceridemic-waist phenotypes, the triglyceride glucose (TyG) index, as well as TyG-related indicators with stroke risk. Methods: In this study, we conducted a prospective cohort study in Hunan, a region located in Central China, where the prevalence of stroke is relatively high. We included a total of 20185 subjects aged ≥40 years between November 2017 and December 2018. Triglyceride glucose-body mass index (TyG-BMI) and triglyceride glucose-waist circumference (TyG-WC) were calculated as multiplying TyG index by BMI and WC, respectively. Triglyceride waist phenotypes were categorized into four phenotypes: HTGW (elevated triglyceride and enlarged WC), NTNW (normal triglyceride and normal WC); HTNW (high triglyceride and normal WC), and NTGW (normal triglyceride and enlarged WC). We constructed a multivariable Cox regression model to assess the association between these novel lipid indicators and the risk of stroke. Subgroup analysis was conducted to test the robustness of our research findings. ROC curve was used for assessing the predictive ability of different stroke risk indices. Results: After 2 years of follow- up, 135 participants experienced new stroke events. After adjusting for potential confounders, we found that participants with HTGW had higher likelihood of stroke (HR: 1.96, 95% CI: 1.21 to 3.16). However, we did not find significant associations for HTNW (HR: 1.42, 95% CI: 0.91 to 2.21) and NTGW (HR: 1.09, 95% CI 0.67 to 1.78). when compared to participants in the first TyG quartile, those in the fourth TyG quartile were associated with a 2.06-fold (95% CI: 1.22, 3.50) risk of stroke. Each 1-SD increase in TyG, TyG-BMI, and TyG-WC was associated with a higher risk of stroke, with adjusted HRs of 1.34 (95% CI: 1.11 to 1.61), 1.35 (95% CI: 1.14 to 1.59), and 1.23 (95% CI: 1.04 to 1.46), respectively. In subgroup analyses, those positive relationships appeared to be stronger among male participants with lower levels of physical activity and smoking. Conclusion: HTGW, along with higher levels of TyG and TyG-related indicators, were found to be associated with an elevated risk of stroke. HTGW and these novel lipid indicators might be reliable indicators to ide…","author":[{"dropping-particle":"","family":"Huang","given":"Qin","non-dropping-particle":"","parse-names":false,"suffix":""},{"dropping-particle":"","family":"Yin","given":"Li","non-dropping-particle":"","parse-names":false,"suffix":""},{"dropping-particle":"","family":"Liu","given":"Zeyu","non-dropping-particle":"","parse-names":false,"suffix":""},{"dropping-particle":"","family":"Wei","given":"Minping","non-dropping-particle":"","parse-names":false,"suffix":""},{"dropping-particle":"","family":"Feng","given":"Jie","non-dropping-particle":"","parse-names":false,"suffix":""},{"dropping-particle":"","family":"Huang","given":"Qing","non-dropping-particle":"","parse-names":false,"suffix":""},{"dropping-particle":"","family":"Liu","given":"Yunhai","non-dropping-particle":"","parse-names":false,"suffix":""},{"dropping-particle":"","family":"Liu","given":"Zunjing","non-dropping-particle":"","parse-names":false,"suffix":""},{"dropping-particle":"","family":"Xia","given":"Jian","non-dropping-particle":"","parse-names":false,"suffix":""}],"container-title":"Frontiers in Endocrinology","id":"ITEM-1","issue":"October","issued":{"date-parts":[["2023"]]},"page":"1-12","title":"Association of novel lipid indicators with the risk of stroke among participants in Central China: a population-based prospective study","type":"article-journal","volume":"14"},"uris":["http://www.mendeley.com/documents/?uuid=316d33a0-9438-4610-b9b4-9d0f517d4606"]}],"mendeley":{"formattedCitation":"[2]","plainTextFormattedCitation":"[2]","previouslyFormattedCitation":"[2]"},"properties":{"noteIndex":0},"schema":"https://github.com/citation-style-language/schema/raw/master/csl-citation.json"}</w:instrText>
            </w:r>
            <w:r>
              <w:fldChar w:fldCharType="separate"/>
            </w:r>
            <w:r w:rsidRPr="00E17305">
              <w:rPr>
                <w:noProof/>
              </w:rPr>
              <w:t>[2]</w:t>
            </w:r>
            <w:r>
              <w:fldChar w:fldCharType="end"/>
            </w:r>
          </w:p>
        </w:tc>
        <w:tc>
          <w:tcPr>
            <w:tcW w:w="4505" w:type="dxa"/>
          </w:tcPr>
          <w:p w:rsidR="00F34F78" w:rsidRDefault="00F34F78" w:rsidP="00F34F78">
            <w:r>
              <w:t>Including prior stroke</w:t>
            </w:r>
          </w:p>
        </w:tc>
      </w:tr>
      <w:tr w:rsidR="00F34F78" w:rsidTr="00F34F78">
        <w:tc>
          <w:tcPr>
            <w:tcW w:w="3964" w:type="dxa"/>
          </w:tcPr>
          <w:p w:rsidR="00F34F78" w:rsidRDefault="00E17305" w:rsidP="00F34F78">
            <w:r>
              <w:t>Wu et al</w:t>
            </w:r>
            <w:r>
              <w:fldChar w:fldCharType="begin" w:fldLock="1"/>
            </w:r>
            <w:r>
              <w:instrText>ADDIN CSL_CITATION {"citationItems":[{"id":"ITEM-1","itemData":{"DOI":"10.1186/s13098-024-01421-w","ISSN":"17585996","abstract":"Background: Identifying high-risk populations and promoting stroke prevention measures can be achieved through studies on stroke and its risk factors. As a new alternative indicator of insulin resistance (IR), the triglyceride glucose (TyG) index may potentially increase stroke risk. However, the evidence confirming this association is inadequate and inconsistent, possibly due to variations in stroke assessment criteria or characteristics of the study populations. This study aims to evaluate the association between the TyG index and stroke risk level among individuals with normal-weight. Methods: A total of 30,895 participants aged ≥ 40 years with normal-weight were enrolled in this study. The TyG index was calculated as Ln [fasting triglycerides (mg/dL) × fasting glucose (mg/dL)/2]. Normal-weight was described as a body mass index (BMI) of 18.5-&lt;24.0 kg/m2. Stroke risk was assessed by the Stroke Risk Assessment Scale, developed by the China National Stroke Screening and Prevention Project. To evaluate the associations between the TyG index and stroke risk level, multivariate logistic regression models were employed. Results: Results showed that when the TyG index was considered as a continuous variable, each one unit increase in the TyG index was associated with a significantly higher risk of stroke [Moderate-risk (OR, 2.15; 95% CI, 2.03–2.28; P&lt;0.001); High-risk (OR, 3.83; 95% CI, 3.57–4.10; P&lt;0.001)]. Compared with Q1 of the TyG index, Q4 was significantly associated with moderate stroke risk (OR, 2.73; 95% CI, 2.50–2.99; P&lt;0.001) and high stroke risk (OR, 5.39; 95% CI, 4.83–6.01; P&lt;0.001). The continuous TyG index was an important risk factor for high stroke risk in the metabolically obese, normal-weight (MONW) individuals (OR, 3.44;95% CI, 2.92–4.06; P &lt; 0.001). In the MONW individuals, when Q1 was used as a reference, participants in Q4 (OR, 5.33; 95% CI, 4.19–6.78; P &lt; 0.001) was significantly associated with high stroke risk. Subgroup analysis showed significant interaction in the age and sex subgroups in the overall population (Pinteraction &lt;0.001). Conclusion: The risk of stroke is increased with the TyG index among Chinese adults of normal weight; hence, the index may be an important indicator for identifying high-risk stroke populations among individuals with normal body weight.","author":[{"dropping-particle":"","family":"Wu","given":"Man","non-dropping-particle":"","parse-names":false,"suffix":""},{"dropping-particle":"","family":"Li","given":"Chaoyang","non-dropping-particle":"","parse-names":false,"suffix":""},{"dropping-particle":"","family":"Yu","given":"Yiqing","non-dropping-particle":"","parse-names":false,"suffix":""},{"dropping-particle":"","family":"Zeng","given":"Lijuan","non-dropping-particle":"","parse-names":false,"suffix":""},{"dropping-particle":"","family":"Qiu","given":"Yufei","non-dropping-particle":"","parse-names":false,"suffix":""},{"dropping-particle":"","family":"Liu","given":"Jiali","non-dropping-particle":"","parse-names":false,"suffix":""},{"dropping-particle":"","family":"Yang","given":"Fen","non-dropping-particle":"","parse-names":false,"suffix":""},{"dropping-particle":"","family":"Han","given":"Yangyang","non-dropping-particle":"","parse-names":false,"suffix":""}],"container-title":"Diabetology and Metabolic Syndrome","id":"ITEM-1","issue":"1","issued":{"date-parts":[["2024"]]},"page":"1-11","title":"Association between the triglyceride-glucose (TyG) index and stroke risk in Chinese normal-weight adults: a population-based study","type":"article-journal","volume":"16"},"uris":["http://www.mendeley.com/documents/?uuid=7c56f346-1687-451c-9b5a-53cdb1ced6d5"]}],"mendeley":{"formattedCitation":"[3]","plainTextFormattedCitation":"[3]","previouslyFormattedCitation":"[3]"},"properties":{"noteIndex":0},"schema":"https://github.com/citation-style-language/schema/raw/master/csl-citation.json"}</w:instrText>
            </w:r>
            <w:r>
              <w:fldChar w:fldCharType="separate"/>
            </w:r>
            <w:r w:rsidRPr="00E17305">
              <w:rPr>
                <w:noProof/>
              </w:rPr>
              <w:t>[3]</w:t>
            </w:r>
            <w:r>
              <w:fldChar w:fldCharType="end"/>
            </w:r>
          </w:p>
        </w:tc>
        <w:tc>
          <w:tcPr>
            <w:tcW w:w="4505" w:type="dxa"/>
          </w:tcPr>
          <w:p w:rsidR="00F34F78" w:rsidRDefault="00F34F78" w:rsidP="00F34F78">
            <w:r>
              <w:t>Cross-sectional study</w:t>
            </w:r>
          </w:p>
        </w:tc>
      </w:tr>
      <w:tr w:rsidR="00F34F78" w:rsidTr="00F34F78">
        <w:tc>
          <w:tcPr>
            <w:tcW w:w="3964" w:type="dxa"/>
          </w:tcPr>
          <w:p w:rsidR="00F34F78" w:rsidRDefault="00E17305" w:rsidP="00F34F78">
            <w:r>
              <w:t>Jiang et al</w:t>
            </w:r>
            <w:r>
              <w:fldChar w:fldCharType="begin" w:fldLock="1"/>
            </w:r>
            <w:r>
              <w:instrText>ADDIN CSL_CITATION {"citationItems":[{"id":"ITEM-1","itemData":{"DOI":"10.1155/2022/5191581","ISSN":"17421241","PMID":"36304978","abstract":"The aim of this study is to evaluate the value of the triglyceride-glucose (TyG) index and the risk of large artery atherosclerotic (LAA) stroke. Information on general demographic and clinical characteristics, magnetic resonance angiography (MRA) examination, and blood biochemical index determination were obtained. Based on age stratification, three models to evaluate the odds ratio (OR) and the 95% confidence interval (95% CI) were employed to determine the correlation between the TyG index and the risk of LAA stroke. The most effective TyG index threshold in predicting a high risk of LAA stroke was identified using receiver operating characteristic (ROC) curve analysis. Logistic regression verified the association between the risk of LAA stroke and the TyG index. Both with and without age stratification, logistic regression analysis showed that the TyG index was a significant predictor of the occurrence of LAA stroke (P&lt;0.05). The maximum Youden index for determining a high risk of LAA stroke was found at a TyG index of 4.60. The area under the ROC curve was 0.69 (95% CI: 0.646-0.742, P&lt;0.05), sensitivity was 78.0%, and specificity was 63.4%. An elevated TyG index was remarkably associated with a high risk of LAA stroke.","author":[{"dropping-particle":"","family":"Jiang","given":"Mingfei","non-dropping-particle":"","parse-names":false,"suffix":""},{"dropping-particle":"","family":"Wu","given":"Huan","non-dropping-particle":"","parse-names":false,"suffix":""},{"dropping-particle":"","family":"Zhang","given":"Huiping","non-dropping-particle":"","parse-names":false,"suffix":""},{"dropping-particle":"","family":"Su","given":"Fan","non-dropping-particle":"","parse-names":false,"suffix":""},{"dropping-particle":"","family":"Cao","given":"Lei","non-dropping-particle":"","parse-names":false,"suffix":""},{"dropping-particle":"","family":"Ren","given":"Xia","non-dropping-particle":"","parse-names":false,"suffix":""},{"dropping-particle":"","family":"Tatenda","given":"Grace","non-dropping-particle":"","parse-names":false,"suffix":""},{"dropping-particle":"","family":"Hu","given":"Jian","non-dropping-particle":"","parse-names":false,"suffix":""},{"dropping-particle":"","family":"Cheng","given":"Mingjia","non-dropping-particle":"","parse-names":false,"suffix":""},{"dropping-particle":"","family":"Wen","given":"Yufeng","non-dropping-particle":"","parse-names":false,"suffix":""}],"container-title":"International Journal of Clinical Practice","id":"ITEM-1","issued":{"date-parts":[["2022"]]},"title":"Association between the Triglyceride-Glucose Index and the Risk of Large Artery Atherosclerotic Stroke","type":"article-journal","volume":"2022"},"uris":["http://www.mendeley.com/documents/?uuid=7f451e14-575f-44bd-b0bc-6a2ffd835d2e"]}],"mendeley":{"formattedCitation":"[4]","plainTextFormattedCitation":"[4]","previouslyFormattedCitation":"[4]"},"properties":{"noteIndex":0},"schema":"https://github.com/citation-style-language/schema/raw/master/csl-citation.json"}</w:instrText>
            </w:r>
            <w:r>
              <w:fldChar w:fldCharType="separate"/>
            </w:r>
            <w:r w:rsidRPr="00E17305">
              <w:rPr>
                <w:noProof/>
              </w:rPr>
              <w:t>[4]</w:t>
            </w:r>
            <w:r>
              <w:fldChar w:fldCharType="end"/>
            </w:r>
          </w:p>
        </w:tc>
        <w:tc>
          <w:tcPr>
            <w:tcW w:w="4505" w:type="dxa"/>
          </w:tcPr>
          <w:p w:rsidR="00F34F78" w:rsidRDefault="00F34F78" w:rsidP="00F34F78">
            <w:r>
              <w:t>Cross-sectional study</w:t>
            </w:r>
          </w:p>
        </w:tc>
      </w:tr>
      <w:tr w:rsidR="00F34F78" w:rsidTr="00F34F78">
        <w:tc>
          <w:tcPr>
            <w:tcW w:w="3964" w:type="dxa"/>
          </w:tcPr>
          <w:p w:rsidR="00F34F78" w:rsidRDefault="00E17305" w:rsidP="00F34F78">
            <w:r>
              <w:t>Wang et al</w:t>
            </w:r>
            <w:r>
              <w:fldChar w:fldCharType="begin" w:fldLock="1"/>
            </w:r>
            <w:r>
              <w:instrText>ADDIN CSL_CITATION {"citationItems":[{"id":"ITEM-1","itemData":{"DOI":"10.3389/fendo.2023.1259062","ISSN":"16642392","abstract":"Background: This study aimed to assess the association of baseline insulin resistance (IR) surrogates and their longitudinal trajectories with cardiovascular diseases (CVD) to provide a useful reference for preventing CVD. Methods: This study was a prospective cohort study conducted in the 51st Regiment of the Third Division of Xinjiang Corps. A total of 6362 participants were recruited in 2016 to conduct the baseline survey, and the follow-up surveys in 2019, 2020, 2021, and 2022. The Kaplan–Meier method was used to estimate the cumulative incidence of CVD according to the baseline IR surrogates of metabolic insulin resistance score (METS-IR) and triglyceride-glucose (TyG) index. Cox regression models were used to assess the association between the baseline IR surrogates and CVD. The impact of the longitudinal trajectories of the IR surrogates on CVD was analyzed after excluding those with IR surrogate data measured ≤2 times. Based on the group-based trajectory model (GBTM), the trajectory patterns of IR surrogates were determined. The Kaplan-Meier method was used to estimate the cumulative incidence of CVD in each trajectory group of METS-IR and TyG index. Cox regression models were used to analyze the association between different trajectory groups of each index and CVD. In addition, the Framingham model was utilized to evaluate whether the addition of the baseline IR surrogates increased the predictive potential of the model. Results: Baseline data analysis included 4712 participants. During a median follow-up of 5.66 years, 572 CVD events were recorded (mean age, 39.42 ± 13.67 years; males, 42.9%). The cumulative CVD incidence increased with the ascending baseline METS-IR and TyG index quartiles (Q1–Q4). The hazard ratio and 95% confidence interval for CVD risk in Q4 of the METS-IR and TyG index were 1.79 (1.25, 2.58) and 1.66 (1.28, 2.17), respectively, when compared with Q1. 4343 participants were included in the trajectory analysis, based on the longitudinal change patterns of the METS-IR and TyG index, the following three trajectory groups were identified: low-increasing, moderate-stable, and elevated-increasing groups. Multivariate Cox regression revealed that the hazard ratio (95% confidence interval) for CVD risk in the elevated-increasing trajectory group of the METS-IR and TyG index was 2.13 (1.48, 3.06) and 2.63 (1.68, 4.13), respectively, when compared with the low-rising group. The C-index, integrated discrimination improvement value, a…","author":[{"dropping-particle":"","family":"Wang","given":"Shulin","non-dropping-particle":"","parse-names":false,"suffix":""},{"dropping-particle":"","family":"Zhang","given":"Xianghui","non-dropping-particle":"","parse-names":false,"suffix":""},{"dropping-particle":"","family":"Keerman","given":"Mulatibieke","non-dropping-particle":"","parse-names":false,"suffix":""},{"dropping-particle":"","family":"Guo","given":"Heng","non-dropping-particle":"","parse-names":false,"suffix":""},{"dropping-particle":"","family":"He","given":"Jia","non-dropping-particle":"","parse-names":false,"suffix":""},{"dropping-particle":"","family":"Maimaitijiang","given":"Remina","non-dropping-particle":"","parse-names":false,"suffix":""},{"dropping-particle":"","family":"Wang","given":"Xinping","non-dropping-particle":"","parse-names":false,"suffix":""},{"dropping-particle":"","family":"Ma","given":"Rulin","non-dropping-particle":"","parse-names":false,"suffix":""},{"dropping-particle":"","family":"Guo","given":"Shuxia","non-dropping-particle":"","parse-names":false,"suffix":""}],"container-title":"Frontiers in Endocrinology","id":"ITEM-1","issue":"December","issued":{"date-parts":[["2023"]]},"page":"1-12","title":"Impact of the baseline insulin resistance surrogates and their longitudinal trajectories on cardiovascular disease (coronary heart disease and stroke): a prospective cohort study in rural China","type":"article-journal","volume":"14"},"uris":["http://www.mendeley.com/documents/?uuid=16f628f8-3692-4754-8b0c-2d58c810ad36"]}],"mendeley":{"formattedCitation":"[5]","plainTextFormattedCitation":"[5]","previouslyFormattedCitation":"[5]"},"properties":{"noteIndex":0},"schema":"https://github.com/citation-style-language/schema/raw/master/csl-citation.json"}</w:instrText>
            </w:r>
            <w:r>
              <w:fldChar w:fldCharType="separate"/>
            </w:r>
            <w:r w:rsidRPr="00E17305">
              <w:rPr>
                <w:noProof/>
              </w:rPr>
              <w:t>[5]</w:t>
            </w:r>
            <w:r>
              <w:fldChar w:fldCharType="end"/>
            </w:r>
          </w:p>
        </w:tc>
        <w:tc>
          <w:tcPr>
            <w:tcW w:w="4505" w:type="dxa"/>
          </w:tcPr>
          <w:p w:rsidR="00F34F78" w:rsidRDefault="00F34F78" w:rsidP="00F34F78">
            <w:r>
              <w:t>No stroke outcomes</w:t>
            </w:r>
          </w:p>
        </w:tc>
      </w:tr>
      <w:tr w:rsidR="00F34F78" w:rsidTr="00F34F78">
        <w:tc>
          <w:tcPr>
            <w:tcW w:w="3964" w:type="dxa"/>
          </w:tcPr>
          <w:p w:rsidR="00F34F78" w:rsidRDefault="00E17305" w:rsidP="00F34F78">
            <w:r>
              <w:t>Chen et al</w:t>
            </w:r>
            <w:r>
              <w:fldChar w:fldCharType="begin" w:fldLock="1"/>
            </w:r>
            <w:r>
              <w:instrText>ADDIN CSL_CITATION {"citationItems":[{"id":"ITEM-1","itemData":{"DOI":"10.1155/2022/5125884","ISSN":"16878345","abstract":"Background. The aging population is increasingly susceptible to cardiovascular disease (CVD). Visit-to-visit variability in glucose and lipid levels both contributed to CVD risk independent of their mean values. However, whether variability in the triglyceride-glucose (TyG) index is a risk factor for CVD remains unknown. Research Design and Methods. In this retrospective study of electronic health records, 27,520 participants aged over 60 years were enrolled. The visit-to-visit variability of TyG index was calculated from annual health examination data and defined as average real variability (ARV), standard deviation (SD), or the coefficient of variability (CV). CVD events were identified from the chronic disease registry or follow-up database and included myocardial infarction, angina, coronary, and stroke. Multivariate Cox regression was used to examine the correlation between TyG variability and incident CVD. Results. Over a median follow-up of 6.2 years, there were 2,178 CVD events. When participants were divided into four quartiles according to their TyG variability, after adjusting for established CVD risk factors, subjects in the top quartile had (HR = 1.18, 95% CI 1.05-1.34, P=0.005) significantly higher CVD risk than those in the bottom quartile. The association remained significant in overweight individuals or those without diabetes (P&lt;0.005 and P&lt;0.01, respectively). Conclusions. High variability in TyG was significantly associated with elevated CVD risk in the elderly, independent of average TyG and other risk factors. Close monitoring variability in TyG might be informative to identify old individuals at high risk of CVD.","author":[{"dropping-particle":"","family":"Chen","given":"Fei","non-dropping-particle":"","parse-names":false,"suffix":""},{"dropping-particle":"","family":"Pan","given":"Ying","non-dropping-particle":"","parse-names":false,"suffix":""},{"dropping-particle":"","family":"Liu","given":"Ziqing","non-dropping-particle":"","parse-names":false,"suffix":""},{"dropping-particle":"","family":"Huang","given":"Rong","non-dropping-particle":"","parse-names":false,"suffix":""},{"dropping-particle":"","family":"Wang","given":"Jing","non-dropping-particle":"","parse-names":false,"suffix":""},{"dropping-particle":"","family":"Shao","given":"Jian","non-dropping-particle":"","parse-names":false,"suffix":""},{"dropping-particle":"","family":"Gong","given":"Yaqin","non-dropping-particle":"","parse-names":false,"suffix":""},{"dropping-particle":"","family":"Sun","given":"Xiyi","non-dropping-particle":"","parse-names":false,"suffix":""},{"dropping-particle":"","family":"Jiang","given":"Xiaobo","non-dropping-particle":"","parse-names":false,"suffix":""},{"dropping-particle":"","family":"Wang","given":"Weihao","non-dropping-particle":"","parse-names":false,"suffix":""},{"dropping-particle":"","family":"Li","given":"Zhaoqiang","non-dropping-particle":"","parse-names":false,"suffix":""},{"dropping-particle":"","family":"Zhong","given":"Shao","non-dropping-particle":"","parse-names":false,"suffix":""},{"dropping-particle":"","family":"Pan","given":"Qi","non-dropping-particle":"","parse-names":false,"suffix":""},{"dropping-particle":"","family":"Zhou","given":"Kaixin","non-dropping-particle":"","parse-names":false,"suffix":""}],"container-title":"International Journal of Endocrinology","id":"ITEM-1","issued":{"date-parts":[["2022"]]},"title":"Impact of Visit-to-Visit Triglyceride-Glucose Index Variability on the Risk of Cardiovascular Disease in the Elderly","type":"article-journal","volume":"2022"},"uris":["http://www.mendeley.com/documents/?uuid=ebe22716-482c-4a55-a2b2-9301c24b7cb1"]}],"mendeley":{"formattedCitation":"[6]","plainTextFormattedCitation":"[6]","previouslyFormattedCitation":"[6]"},"properties":{"noteIndex":0},"schema":"https://github.com/citation-style-language/schema/raw/master/csl-citation.json"}</w:instrText>
            </w:r>
            <w:r>
              <w:fldChar w:fldCharType="separate"/>
            </w:r>
            <w:r w:rsidRPr="00E17305">
              <w:rPr>
                <w:noProof/>
              </w:rPr>
              <w:t>[6]</w:t>
            </w:r>
            <w:r>
              <w:fldChar w:fldCharType="end"/>
            </w:r>
          </w:p>
        </w:tc>
        <w:tc>
          <w:tcPr>
            <w:tcW w:w="4505" w:type="dxa"/>
          </w:tcPr>
          <w:p w:rsidR="00F34F78" w:rsidRDefault="00F34F78" w:rsidP="00F34F78">
            <w:r>
              <w:t>No stroke outcomes</w:t>
            </w:r>
          </w:p>
        </w:tc>
      </w:tr>
      <w:tr w:rsidR="00F34F78" w:rsidTr="00F34F78">
        <w:tc>
          <w:tcPr>
            <w:tcW w:w="3964" w:type="dxa"/>
          </w:tcPr>
          <w:p w:rsidR="00F34F78" w:rsidRDefault="00E17305" w:rsidP="00F34F78">
            <w:proofErr w:type="spellStart"/>
            <w:r>
              <w:t>Mirashafiei</w:t>
            </w:r>
            <w:proofErr w:type="spellEnd"/>
            <w:r>
              <w:t xml:space="preserve"> et al</w:t>
            </w:r>
            <w:r>
              <w:fldChar w:fldCharType="begin" w:fldLock="1"/>
            </w:r>
            <w:r>
              <w:instrText>ADDIN CSL_CITATION {"citationItems":[{"id":"ITEM-1","itemData":{"DOI":"10.1002/biof.1816","ISSN":"18728081","PMID":"35044705","abstract":"The triglyceride glucose (TyG) index and triglyceride/high lipoprotein density cholesterol (TG/HDL-C) are two important risk markers to evaluate the insulin resistance and cardiovascular diseases (CVDs). To assess the association between TG/HDL-C and TyG index and CVDs. The Mashhad stroke and heart association disorder cohort study started in 2010 and has been continued until 2020. During 6-year follow-up of 9704 participants, 235 events including 118 acute coronary syndrome (ACS), 83 chronic coronary syndrome, 27 myocardial infarction, and 27 cardiac death were confirmed. SPSS software (version 21) was used for statistical analysis and figures were drawn by GraphPad Prism 6 software. The prevalence of ACS and cardiac death were higher in the fourth quartile of serum TG/HDL-C (&gt;4.43) and higher prevalence of ACS was considered in subjects classified in the fourth quartile of TyG index (&gt;8.98). A high TyG index was associated with an increased risk of ACS and cardiac death [1.362 (95% confidence interval [CI]: [1.013–1.831]) and 2.3 (95% CI: [1.247–4.241])] respectively; based on Cox regression analysis elevated TyG and TG/HDL-C increased the chance of CVD by [1.634 (95% CI: 1.304–2.047) and 1.068 (95% CI: 1.031–1.105)], respectively. Our results strongly showed that TyG index and TG/HDL-C are independent risk factors for incident CVD, suggesting that TyG index and TG/HDL-C may be as an important unique biomarker for predicting CVD outcomes and progression.","author":[{"dropping-particle":"","family":"Mirshafiei","given":"Hassan","non-dropping-particle":"","parse-names":false,"suffix":""},{"dropping-particle":"","family":"Darroudi","given":"Susan","non-dropping-particle":"","parse-names":false,"suffix":""},{"dropping-particle":"","family":"Ghayour-Mobarhan","given":"Majid","non-dropping-particle":"","parse-names":false,"suffix":""},{"dropping-particle":"","family":"Esmaeili","given":"Habibollah","non-dropping-particle":"","parse-names":false,"suffix":""},{"dropping-particle":"","family":"AkbariRad","given":"Mina","non-dropping-particle":"","parse-names":false,"suffix":""},{"dropping-particle":"","family":"Mouhebati","given":"Mohsen","non-dropping-particle":"","parse-names":false,"suffix":""},{"dropping-particle":"","family":"Ferns","given":"Gordon A.","non-dropping-particle":"","parse-names":false,"suffix":""}],"container-title":"BioFactors","id":"ITEM-1","issue":"3","issued":{"date-parts":[["2022"]]},"page":"643-650","title":"Altered triglyceride glucose index and fasted serum triglyceride high-density lipoprotein cholesterol ratio predict incidence of cardiovascular disease in the Mashhad cohort study","type":"article-journal","volume":"48"},"uris":["http://www.mendeley.com/documents/?uuid=f3a3ef0d-44c3-4ce8-8145-2111edf541a7"]}],"mendeley":{"formattedCitation":"[7]","plainTextFormattedCitation":"[7]","previouslyFormattedCitation":"[7]"},"properties":{"noteIndex":0},"schema":"https://github.com/citation-style-language/schema/raw/master/csl-citation.json"}</w:instrText>
            </w:r>
            <w:r>
              <w:fldChar w:fldCharType="separate"/>
            </w:r>
            <w:r w:rsidRPr="00E17305">
              <w:rPr>
                <w:noProof/>
              </w:rPr>
              <w:t>[7]</w:t>
            </w:r>
            <w:r>
              <w:fldChar w:fldCharType="end"/>
            </w:r>
          </w:p>
        </w:tc>
        <w:tc>
          <w:tcPr>
            <w:tcW w:w="4505" w:type="dxa"/>
          </w:tcPr>
          <w:p w:rsidR="00F34F78" w:rsidRDefault="00F34F78" w:rsidP="00F34F78">
            <w:r>
              <w:t>No stroke outcomes</w:t>
            </w:r>
          </w:p>
        </w:tc>
      </w:tr>
      <w:tr w:rsidR="00F34F78" w:rsidTr="00F34F78">
        <w:tc>
          <w:tcPr>
            <w:tcW w:w="3964" w:type="dxa"/>
          </w:tcPr>
          <w:p w:rsidR="00F34F78" w:rsidRDefault="00E17305" w:rsidP="00F34F78">
            <w:r>
              <w:t>Zhang et al</w:t>
            </w:r>
            <w:r>
              <w:fldChar w:fldCharType="begin" w:fldLock="1"/>
            </w:r>
            <w:r>
              <w:instrText>ADDIN CSL_CITATION {"citationItems":[{"id":"ITEM-1","itemData":{"DOI":"10.1186/s12933-023-02082-1","ISSN":"14752840","PMID":"38093283","abstract":"Background: This study aimed to evaluate the association of triglyceride-glucose (TyG) index, an insulin resistance surrogate biomarker, with first stroke in a hypertensive population and to explore potential influencing factors. Methods: This study, a cohort study among a rural Chinese hypertensive population, utilized data from the China Stroke Primary Prevention Trial (CSPPT). The TyG index was calculated as ln [fasting triglyceride (mg/dL) × fasting glucose (mg/dL)/2]. Multivariate analysis using Cox proportional hazards models was conducted. Results: A total of 7569 hypertensive patients were included in this study. When TyG index was assessed as quartiles, compared with the reference group (Quartile 1), the hazard ratio of stroke was 1.04 in Quartile 2, 1.43 in Quartile 3, and 1.45 in Quartile 4, with a significant trend test (P = 0.013). When Quartiles 3 and 4 were combined (≥ 8.8), the hazard ratio was 1.41 compared with combined Quartiles 1 and 2 (&lt; 8.8). Similar findings were observed for the association of TyG index with ischemic stroke. Further, a joint effect of baseline TyG index and age on first stroke was found. Using the group with TyG &lt; 8.8 and age &lt; 60 years as a reference, the highest hazard ratio of stroke was found in the group with a higher TyG index and aged 60 or greater (HR: 2.15, 95% CI 1.50, 3.07, P &lt; 0.001). Conclusions: In a hypertensive population, baseline TyG index was associated with a significantly higher risk of first stroke. In addition, age was a significant effect modifier for this association.","author":[{"dropping-particle":"","family":"Zhang","given":"Nan","non-dropping-particle":"","parse-names":false,"suffix":""},{"dropping-particle":"","family":"Chi","given":"Xiying","non-dropping-particle":"","parse-names":false,"suffix":""},{"dropping-particle":"","family":"Zhou","given":"Ziyi","non-dropping-particle":"","parse-names":false,"suffix":""},{"dropping-particle":"","family":"Song","given":"Yun","non-dropping-particle":"","parse-names":false,"suffix":""},{"dropping-particle":"","family":"Li","given":"Shuqun","non-dropping-particle":"","parse-names":false,"suffix":""},{"dropping-particle":"","family":"Xu","given":"Jiafeng","non-dropping-particle":"","parse-names":false,"suffix":""},{"dropping-particle":"","family":"Li","given":"Jianping","non-dropping-particle":"","parse-names":false,"suffix":""}],"container-title":"Cardiovascular Diabetology","id":"ITEM-1","issue":"1","issued":{"date-parts":[["2023"]]},"page":"1-8","publisher":"BioMed Central","title":"Triglyceride-glucose index is associated with a higher risk of stroke in a hypertensive population","type":"article-journal","volume":"22"},"uris":["http://www.mendeley.com/documents/?uuid=b2e438a4-9590-4e89-b3b4-8c7021f3fb19"]}],"mendeley":{"formattedCitation":"[8]","plainTextFormattedCitation":"[8]","previouslyFormattedCitation":"[8]"},"properties":{"noteIndex":0},"schema":"https://github.com/citation-style-language/schema/raw/master/csl-citation.json"}</w:instrText>
            </w:r>
            <w:r>
              <w:fldChar w:fldCharType="separate"/>
            </w:r>
            <w:r w:rsidRPr="00E17305">
              <w:rPr>
                <w:noProof/>
              </w:rPr>
              <w:t>[8]</w:t>
            </w:r>
            <w:r>
              <w:fldChar w:fldCharType="end"/>
            </w:r>
          </w:p>
        </w:tc>
        <w:tc>
          <w:tcPr>
            <w:tcW w:w="4505" w:type="dxa"/>
          </w:tcPr>
          <w:p w:rsidR="00F34F78" w:rsidRDefault="00F34F78" w:rsidP="00F34F78">
            <w:r>
              <w:t>On hypertensive population</w:t>
            </w:r>
          </w:p>
        </w:tc>
      </w:tr>
      <w:tr w:rsidR="00F34F78" w:rsidTr="00F34F78">
        <w:tc>
          <w:tcPr>
            <w:tcW w:w="3964" w:type="dxa"/>
          </w:tcPr>
          <w:p w:rsidR="00F34F78" w:rsidRDefault="00E17305" w:rsidP="00F34F78">
            <w:r>
              <w:t>Hu et al</w:t>
            </w:r>
            <w:r>
              <w:fldChar w:fldCharType="begin" w:fldLock="1"/>
            </w:r>
            <w:r>
              <w:instrText>ADDIN CSL_CITATION {"citationItems":[{"id":"ITEM-1","itemData":{"DOI":"10.2147/IJGM.S350474","ISSN":"11787074","abstract":"Background: Several recent studies have shown the relationship between the triglyceride glucose (TyG) index and the risk of stroke in the general population and in a few patient cohorts; however, the role of the TyG index on stroke risk in elderly hypertensive patients has not been determined. Thus, we aimed to investigate the association of the TyG index with first stroke and first ischemic stroke in elderly individuals with hypertension. Methods: We included 8487 elderly subjects with hypertension from the China H-type Hypertension Registry Study for the current analysis. The TyG index was calculated as ln (fasting triglyceride [mg/dL] × fasting glucose [mg/dL]/2). Outcomes were the first stroke and first ischemic stroke. Results: During a median follow-up of 1.72 years, the first stroke was diagnosed in 82 patients (0.97%), and the first ischemic stroke was diagnosed in 48 patients (0.57%). Multivariable Cox proportional hazards models revealed that the TyG index was positively associated with the risk of first stroke (per 1-unit increment; HR: 1.72; 95% CI: 1.07, 2.76) and first ischemic stroke (HR: 2.31; 95% CI: 1.32, 4.05). When the TyG index was assessed as quartiles, significantly higher risks of first stroke (HR: 1.90; 95% CI: 1.04, 3.45) and first ischemic stroke (HR: 2.45; 95% CI: 1.16, 5.20) were found in participants in quartile 4 compared with those in quartiles 1–3. Conclusion: The TyG index is potentially useful in the early identification of elderly hypertensive patients at high risk of experiencing a first stroke.","author":[{"dropping-particle":"","family":"Hu","given":"Longlong","non-dropping-particle":"","parse-names":false,"suffix":""},{"dropping-particle":"","family":"Bao","given":"Huihui","non-dropping-particle":"","parse-names":false,"suffix":""},{"dropping-particle":"","family":"Huang","given":"Xiao","non-dropping-particle":"","parse-names":false,"suffix":""},{"dropping-particle":"","family":"Li","given":"Minghui","non-dropping-particle":"","parse-names":false,"suffix":""},{"dropping-particle":"","family":"Cheng","given":"Xiaoshu","non-dropping-particle":"","parse-names":false,"suffix":""},{"dropping-particle":"","family":"Zhou","given":"Wei","non-dropping-particle":"","parse-names":false,"suffix":""},{"dropping-particle":"","family":"Wang","given":"Tao","non-dropping-particle":"","parse-names":false,"suffix":""},{"dropping-particle":"","family":"Zhu","given":"Lingjuan","non-dropping-particle":"","parse-names":false,"suffix":""},{"dropping-particle":"","family":"Liu","given":"Xi","non-dropping-particle":"","parse-names":false,"suffix":""}],"container-title":"International Journal of General Medicine","id":"ITEM-1","issue":"December 2021","issued":{"date-parts":[["2022"]]},"page":"1271-1279","title":"Relationship Between the Triglyceride Glucose Index and the Risk of First Stroke in Elderly Hypertensive Patients","type":"article-journal","volume":"15"},"uris":["http://www.mendeley.com/documents/?uuid=83687832-679c-4fc8-83c8-2f41eb2a55eb"]}],"mendeley":{"formattedCitation":"[9]","plainTextFormattedCitation":"[9]","previouslyFormattedCitation":"[9]"},"properties":{"noteIndex":0},"schema":"https://github.com/citation-style-language/schema/raw/master/csl-citation.json"}</w:instrText>
            </w:r>
            <w:r>
              <w:fldChar w:fldCharType="separate"/>
            </w:r>
            <w:r w:rsidRPr="00E17305">
              <w:rPr>
                <w:noProof/>
              </w:rPr>
              <w:t>[9]</w:t>
            </w:r>
            <w:r>
              <w:fldChar w:fldCharType="end"/>
            </w:r>
          </w:p>
        </w:tc>
        <w:tc>
          <w:tcPr>
            <w:tcW w:w="4505" w:type="dxa"/>
          </w:tcPr>
          <w:p w:rsidR="00F34F78" w:rsidRDefault="00F34F78" w:rsidP="00F34F78">
            <w:r>
              <w:t>On hypertensive population</w:t>
            </w:r>
          </w:p>
        </w:tc>
      </w:tr>
      <w:tr w:rsidR="00F34F78" w:rsidTr="00F34F78">
        <w:tc>
          <w:tcPr>
            <w:tcW w:w="3964" w:type="dxa"/>
          </w:tcPr>
          <w:p w:rsidR="00F34F78" w:rsidRDefault="00E17305" w:rsidP="00F34F78">
            <w:proofErr w:type="spellStart"/>
            <w:r>
              <w:t>Esin</w:t>
            </w:r>
            <w:proofErr w:type="spellEnd"/>
            <w:r>
              <w:t xml:space="preserve"> et al</w:t>
            </w:r>
            <w:r>
              <w:fldChar w:fldCharType="begin" w:fldLock="1"/>
            </w:r>
            <w:r>
              <w:instrText>ADDIN CSL_CITATION {"citationItems":[{"id":"ITEM-1","itemData":{"DOI":"10.1177/10760296241301411","ISSN":"19382723","abstract":"Objective: This study aimed to investigate the association between the triglyceride-glucose (TyG) index and cryptogenic stroke (CS) in patients diagnosed with patent foramen ovale (PFO) using transesophageal echocardiography (TEE). Methods: A retrospective, single-center study was conducted at a tertiary education and research hospital from January 2015 to December 2023. The study population included 1017 consecutive patients with sinus rhythm diagnosed with PFO, of whom 210 had CS. The TyG Index was calculated using triglyceride and fasting glucose levels. Results: Patients with CS were older (47.53 ± 12.34 years) compared to control group (44.40 ± 17.82 years, p =.005). The proportion of males was higher in the CS group (56.2%) compared to the control group (48.3%, p =.042). Laboratory findings revealed higher TyG Index (8.87 ± 0.51 vs 8.63 ± 0.55, p &lt;.001) in patients with CS. TyG Index was an independent predictor of CS in patients with PFO (OR: 2.832, 95%CI: 1.979-4.053 p &lt;.001). Conclusion: Elevated TyG Index levels was associated with CS in patients with PFO. The TyG index may serve as a useful biomarker for assessing CS risk in this population.","author":[{"dropping-particle":"","family":"Esin","given":"Fatma","non-dropping-particle":"","parse-names":false,"suffix":""},{"dropping-particle":"","family":"Ince","given":"Hüseyin Sefa","non-dropping-particle":"","parse-names":false,"suffix":""},{"dropping-particle":"","family":"Aktürk","given":"Semih","non-dropping-particle":"","parse-names":false,"suffix":""},{"dropping-particle":"","family":"Citekci","given":"Fahrettin Tugrul","non-dropping-particle":"","parse-names":false,"suffix":""},{"dropping-particle":"","family":"Celik","given":"Aykan","non-dropping-particle":"","parse-names":false,"suffix":""},{"dropping-particle":"","family":"Kocabas","given":"Ugur","non-dropping-particle":"","parse-names":false,"suffix":""},{"dropping-particle":"","family":"Kiris","given":"Tuncay","non-dropping-particle":"","parse-names":false,"suffix":""},{"dropping-particle":"","family":"Karaca","given":"Mustafa","non-dropping-particle":"","parse-names":false,"suffix":""}],"container-title":"Clinical and Applied Thrombosis/Hemostasis","id":"ITEM-1","issued":{"date-parts":[["2024"]]},"title":"The Relationship Between the Triglyceride-Glucose Index and Cryptogenic Stroke in Patients with Patent Foramen Ovale","type":"article-journal","volume":"30"},"uris":["http://www.mendeley.com/documents/?uuid=c8fe68df-6766-4469-b0e6-889508b1bc31"]}],"mendeley":{"formattedCitation":"[10]","plainTextFormattedCitation":"[10]","previouslyFormattedCitation":"[10]"},"properties":{"noteIndex":0},"schema":"https://github.com/citation-style-language/schema/raw/master/csl-citation.json"}</w:instrText>
            </w:r>
            <w:r>
              <w:fldChar w:fldCharType="separate"/>
            </w:r>
            <w:r w:rsidRPr="00E17305">
              <w:rPr>
                <w:noProof/>
              </w:rPr>
              <w:t>[10]</w:t>
            </w:r>
            <w:r>
              <w:fldChar w:fldCharType="end"/>
            </w:r>
          </w:p>
        </w:tc>
        <w:tc>
          <w:tcPr>
            <w:tcW w:w="4505" w:type="dxa"/>
          </w:tcPr>
          <w:p w:rsidR="00F34F78" w:rsidRDefault="00F34F78" w:rsidP="00F34F78">
            <w:r>
              <w:t xml:space="preserve">On patients with patent foramen </w:t>
            </w:r>
            <w:proofErr w:type="spellStart"/>
            <w:r>
              <w:t>ovale</w:t>
            </w:r>
            <w:proofErr w:type="spellEnd"/>
          </w:p>
        </w:tc>
      </w:tr>
      <w:tr w:rsidR="00F34F78" w:rsidTr="00F34F78">
        <w:tc>
          <w:tcPr>
            <w:tcW w:w="3964" w:type="dxa"/>
          </w:tcPr>
          <w:p w:rsidR="00F34F78" w:rsidRDefault="00E17305" w:rsidP="00F34F78">
            <w:proofErr w:type="spellStart"/>
            <w:r>
              <w:t>Ayca</w:t>
            </w:r>
            <w:proofErr w:type="spellEnd"/>
            <w:r>
              <w:t xml:space="preserve"> et al</w:t>
            </w:r>
            <w:r>
              <w:fldChar w:fldCharType="begin" w:fldLock="1"/>
            </w:r>
            <w:r w:rsidR="00C53B3C">
              <w:instrText>ADDIN CSL_CITATION {"citationItems":[{"id":"ITEM-1","itemData":{"DOI":"10.3390/jcm13237271","ISSN":"20770383","abstract":"Background/Objectives: The prevalence of patent foramen ovale (PFO) has been found to be increased in patients with cryptogenic stroke, suggesting an association between these two clinical settings. Insulin resistance is a risk factor for the occurrence of stroke. The triglyceride glucose (TyG) index is a biomarker that reflects the IR status of the body. Our aim was to evaluate the TyG index values in patients with PFO who experienced cryptogenic stroke. Methods: One hundred and twenty nine patients with PFO who experienced embolic stroke and one hundred and eight control subjects were enrolled. All patients in the study group experienced embolic stroke within 2 weeks of enrollment. The TyG index value of each patient was calculated. Results: Patients with stroke were significantly older, had higher levels of glucose, creatinine, triglyceride (TG), leukocyte, and TyG index and lower high-density lipoprotein–cholesterol values. The TyG index had the highest sensitivity for the prediction of stroke in comparison to TG and glucose values. Comparison of ROC curves showed that the TyG index had the highest AUC compared to that of TG and glucose. The TyG index value of 8.89 predicted stroke occurrence with a sensitivity and specificity of 63.2% and 72.3%, respectively. The results of multivariable regression analyses showed that the TyG index had a higher odds ratio than TG, which indicated that it had a better predictive value. Conclusions: Assessment of the TyG index in cryptogenic stroke patients with PFO might be helpful for the management of these patients.","author":[{"dropping-particle":"","family":"Ayça","given":"Burak","non-dropping-particle":"","parse-names":false,"suffix":""},{"dropping-particle":"","family":"Yıldız","given":"Cennet","non-dropping-particle":"","parse-names":false,"suffix":""},{"dropping-particle":"","family":"Yüksel","given":"Yasin","non-dropping-particle":"","parse-names":false,"suffix":""},{"dropping-particle":"","family":"Katkat","given":"Fahrettin","non-dropping-particle":"","parse-names":false,"suffix":""},{"dropping-particle":"","family":"Arpaç","given":"Atakan","non-dropping-particle":"","parse-names":false,"suffix":""},{"dropping-particle":"","family":"Çağlar","given":"Fatma Nihan Turhan","non-dropping-particle":"","parse-names":false,"suffix":""},{"dropping-particle":"","family":"Erkol","given":"Cansu","non-dropping-particle":"","parse-names":false,"suffix":""}],"container-title":"Journal of Clinical Medicine","id":"ITEM-1","issue":"23","issued":{"date-parts":[["2024"]]},"page":"1-11","title":"Evaluation of Triglyceride Glucose Index in Patients with Patent Foramen Ovale Who Experienced Cryptogenic Stroke","type":"article-journal","volume":"13"},"uris":["http://www.mendeley.com/documents/?uuid=ad77df9c-78b1-4495-8838-88ce27742ca0"]}],"mendeley":{"formattedCitation":"[11]","plainTextFormattedCitation":"[11]","previouslyFormattedCitation":"[11]"},"properties":{"noteIndex":0},"schema":"https://github.com/citation-style-language/schema/raw/master/csl-citation.json"}</w:instrText>
            </w:r>
            <w:r>
              <w:fldChar w:fldCharType="separate"/>
            </w:r>
            <w:r w:rsidRPr="00E17305">
              <w:rPr>
                <w:noProof/>
              </w:rPr>
              <w:t>[11]</w:t>
            </w:r>
            <w:r>
              <w:fldChar w:fldCharType="end"/>
            </w:r>
          </w:p>
        </w:tc>
        <w:tc>
          <w:tcPr>
            <w:tcW w:w="4505" w:type="dxa"/>
          </w:tcPr>
          <w:p w:rsidR="00F34F78" w:rsidRDefault="00F34F78" w:rsidP="00F34F78">
            <w:r>
              <w:t xml:space="preserve">On patients with patent foramen </w:t>
            </w:r>
            <w:proofErr w:type="spellStart"/>
            <w:r>
              <w:t>ovale</w:t>
            </w:r>
            <w:proofErr w:type="spellEnd"/>
          </w:p>
        </w:tc>
      </w:tr>
      <w:tr w:rsidR="00F34F78" w:rsidTr="00F34F78">
        <w:tc>
          <w:tcPr>
            <w:tcW w:w="3964" w:type="dxa"/>
          </w:tcPr>
          <w:p w:rsidR="00F34F78" w:rsidRDefault="00E17305" w:rsidP="00F34F78">
            <w:r>
              <w:t>Tian et al</w:t>
            </w:r>
            <w:r w:rsidR="00C53B3C">
              <w:fldChar w:fldCharType="begin" w:fldLock="1"/>
            </w:r>
            <w:r w:rsidR="00C53B3C">
              <w:instrText>ADDIN CSL_CITATION {"citationItems":[{"id":"ITEM-1","itemData":{"DOI":"10.1016/j.ahj.2022.02.014","ISSN":"10976744","PMID":"35248535","abstract":"Background: Long-term patterns of the triglyceride-glucose index (TyG index) and their effects on cardiovascular disease (CVD) among normal-weight adults are poorly characterized. This study aimed to identify TyG index trajectories in normal-weight adults and to determine their association with the risk of incident CVD. Methods: This study included 40,473 normal-weight participants who were free of stroke and myocardial infarction prior to or in 2012. The TyG index was calculated as ln (fasting triglyceride [mg/dL] × fasting glucose [mg/dL]/2), and the TyG index trajectories during 2006-2012 were identified by latent mixture modeling. Results: We identified five distinct TyG index trajectories according to TyG index range and changing pattern over time: low-stable (n = 9,806; mean TyG index 7.84-7.93), moderate-stable (n = 22,066; mean TyG index 8.43-8.52), high-decreasing (n = 1,469; mean TyG index 9.83-8.75), moderate-increasing (n = 5,842; mean TyG index 8.98-9.26), and high-stable (n = 1,290; mean TyG index 9.91-10.07). During 6.74 years of follow-up, we documented 1,577 incident CVD events. Compared with the low-stable pattern, the highest risk of CVD was observed in the high-stable pattern (hazard ratio [HR], 2.24; 95% confidence interval [CI]: 1.73-2.90), followed by the moderate-increasing pattern (HR, 1.70; 95% CI, 1.43-2.04), the high-decreasing pattern (HR, 1.45; 95% CI, 1.11-1.89), and the moderate-stable pattern (HR, 1.25; 95% CI, 1.08-1.44). Similar results were also observed for stroke and myocardial infarction. Conclusions: Distinct TyG index trajectories were significantly associated differently subsequent risk of CVD in normal-weight individuals. These observations suggested that long-term trajectories of TyG index may be useful for predicting CVD among normal-weight adults.","author":[{"dropping-particle":"","family":"Tian","given":"Xue","non-dropping-particle":"","parse-names":false,"suffix":""},{"dropping-particle":"","family":"Zuo","given":"Yingting","non-dropping-particle":"","parse-names":false,"suffix":""},{"dropping-particle":"","family":"Chen","given":"Shuohua","non-dropping-particle":"","parse-names":false,"suffix":""},{"dropping-particle":"","family":"Meng","given":"Xia","non-dropping-particle":"","parse-names":false,"suffix":""},{"dropping-particle":"","family":"Chen","given":"Pan","non-dropping-particle":"","parse-names":false,"suffix":""},{"dropping-particle":"","family":"Wang","given":"Yongjun","non-dropping-particle":"","parse-names":false,"suffix":""},{"dropping-particle":"","family":"Wu","given":"Shouling","non-dropping-particle":"","parse-names":false,"suffix":""},{"dropping-particle":"","family":"Luo","given":"Yanxia","non-dropping-particle":"","parse-names":false,"suffix":""},{"dropping-particle":"","family":"Wang","given":"Anxin","non-dropping-particle":"","parse-names":false,"suffix":""}],"container-title":"American Heart Journal","id":"ITEM-1","issued":{"date-parts":[["2022"]]},"page":"63-71","publisher":"Elsevier Inc.","title":"Distinct triglyceride-glucose trajectories are associated with different risks of incident cardiovascular disease in normal-weight adults","type":"article-journal","volume":"248"},"uris":["http://www.mendeley.com/documents/?uuid=6ab9a440-83c4-49dc-82fe-547d1afa4c0e"]}],"mendeley":{"formattedCitation":"[12]","plainTextFormattedCitation":"[12]","previouslyFormattedCitation":"[12]"},"properties":{"noteIndex":0},"schema":"https://github.com/citation-style-language/schema/raw/master/csl-citation.json"}</w:instrText>
            </w:r>
            <w:r w:rsidR="00C53B3C">
              <w:fldChar w:fldCharType="separate"/>
            </w:r>
            <w:r w:rsidR="00C53B3C" w:rsidRPr="00C53B3C">
              <w:rPr>
                <w:noProof/>
              </w:rPr>
              <w:t>[12]</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Wang et al</w:t>
            </w:r>
            <w:r w:rsidR="00C53B3C">
              <w:fldChar w:fldCharType="begin" w:fldLock="1"/>
            </w:r>
            <w:r w:rsidR="00C53B3C">
              <w:instrText>ADDIN CSL_CITATION {"citationItems":[{"id":"ITEM-1","itemData":{"DOI":"10.1186/s12933-021-01305-7","ISSN":"14752840","PMID":"34039351","abstract":"Background: Previous studies has shown a significant relationship between baseline triglyceride-glucose (TyG) index and subsequent cardiovascular disease (CVD). However, the effect of longitudinal changes in TyG index on the risk of CVD remains uncertain. This study aimed to investigate the association between change in TyG index and the risk of CVD in the general population. Methods: The current study included 62,443 Chinese population who were free of CVD. The TyG index was calculated as ln [fasting triglyceride (mg/dL) × fasting glucose (mg/dL)/2], and change in TyG index was defined as the difference between the TyG index in 2010 and that in 2006. Multivariable-adjusted Cox proportional hazard models and restricted cubic spline analysis were used to examine the association between change in TyG index and the risk of CVD. Results: During a median follow-up of 7.01 years, 2530 (4.05%) incident CVD occurred, including 2018 (3.23%) incident stroke and 545 (0.87%) incident myocardial infarction (MI). The risk of developing CVD increased with the quartile of change in TyG index, after adjustment for multiple potential confounders, the hazard ratios for the Q4 group versus the Q1 group were 1.37 (95% confidence interval [CI], 1.21–1.54) for the overall CVD, 1.38 (95% CI, 1.19–1.60) for stroke, and 1.36 (95% CI, 1.05–1.76) for MI. Restricted cubic spline analysis also showed a cumulative increase in the risk of CVD with increases in the magnitude of change in TyG index. The addition of change in TyG index to a baseline risk model for CVD improved the C-statistics (P = 0.0097), integrated discrimination improvement value (P &lt; 0.0001), and category-free net reclassification improvement value (P &lt; 0.0001). Similar results were observed for stroke and MI. Conclusions: Substantial changes in TyG index independently predict the risk of CVD in the general population. Monitoring long-term changes in TyG may assist with in the early identification of individuals at high risk of CVD.","author":[{"dropping-particle":"","family":"Wang","given":"Anxin","non-dropping-particle":"","parse-names":false,"suffix":""},{"dropping-particle":"","family":"Tian","given":"Xue","non-dropping-particle":"","parse-names":false,"suffix":""},{"dropping-particle":"","family":"Zuo","given":"Yingting","non-dropping-particle":"","parse-names":false,"suffix":""},{"dropping-particle":"","family":"Chen","given":"Shuohua","non-dropping-particle":"","parse-names":false,"suffix":""},{"dropping-particle":"","family":"Meng","given":"Xia","non-dropping-particle":"","parse-names":false,"suffix":""},{"dropping-particle":"","family":"Wu","given":"Shouling","non-dropping-particle":"","parse-names":false,"suffix":""},{"dropping-particle":"","family":"Wang","given":"Yongjun","non-dropping-particle":"","parse-names":false,"suffix":""}],"container-title":"Cardiovascular Diabetology","id":"ITEM-1","issue":"1","issued":{"date-parts":[["2021"]]},"page":"1-9","publisher":"BioMed Central","title":"Change in triglyceride-glucose index predicts the risk of cardiovascular disease in the general population: a prospective cohort study","type":"article-journal","volume":"20"},"uris":["http://www.mendeley.com/documents/?uuid=dd51d682-e9a0-4796-89ac-625367d763ec"]}],"mendeley":{"formattedCitation":"[13]","plainTextFormattedCitation":"[13]","previouslyFormattedCitation":"[13]"},"properties":{"noteIndex":0},"schema":"https://github.com/citation-style-language/schema/raw/master/csl-citation.json"}</w:instrText>
            </w:r>
            <w:r w:rsidR="00C53B3C">
              <w:fldChar w:fldCharType="separate"/>
            </w:r>
            <w:r w:rsidR="00C53B3C" w:rsidRPr="00C53B3C">
              <w:rPr>
                <w:noProof/>
              </w:rPr>
              <w:t>[13]</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Cui et al</w:t>
            </w:r>
            <w:r w:rsidR="00C53B3C">
              <w:fldChar w:fldCharType="begin" w:fldLock="1"/>
            </w:r>
            <w:r w:rsidR="00C53B3C">
              <w:instrText>ADDIN CSL_CITATION {"citationItems":[{"id":"ITEM-1","itemData":{"DOI":"10.1186/s12933-022-01456-1","ISBN":"1293302201","ISSN":"14752840","PMID":"35144621","abstract":"Background: Previous studies has shown a significant relationship between baseline triglyceride-glucose (TyG) index and cardiovascular disease (CVD). However, the long-term effect of TyG index and incident CVD remains uncertain. This study aimed to investigate the association between cumulative TyG index and the risk of CVD. Method: In this study, we recruited individuals participating in Kailuan Study from 2006 to 2013 without stroke, myocardial infarction, and cancer in the four consecutive examinations. Cumulative TyG index was calculated by multiplying the average TyG index and the time between the two consecutive examinations. Cumulative TyG index levels were categorized into four quartile groups: Q1 group, ≤ 50.65 (as reference group), Q2 group, 50.65–53.86, Q3 group, 53.86–57.44, Q4 group, &gt; 57.44. The association between cumulative TyG index and the risk of CVD was estimated by multivariable Cox proportional hazard models. Result: A total of 44,064 individuals participated in the final analysis. After a mean follow-up of 6.52 ± 1.14 years, incident CVD, MI and stroke occurred in 2057, 395 and 1695, respectively. The risk of developing CVD increased with the quartile of cumulative in TyG index, after adjustment for multiple potential confounders, the HR for CVD events were 1.25 (1.08–1.44) in Q2, 1.22 (1.05–1.40) in Q3 and 1.39 (1.21–1.61) in Q4, compared to Q1 group. The longer duration of higher TyG index exposure was significantly associated with increased CVD risk. Similar results were obtained in the subgroup and sensitivity analysis. Conclusion: Cumulative TyG index was associated with increased risk of CVD. Maintaining an appropriate level of TG and FBG within the desirable range and better control of cumulative TyG index are important for prevention of CVD.","author":[{"dropping-particle":"","family":"Cui","given":"Haozhe","non-dropping-particle":"","parse-names":false,"suffix":""},{"dropping-particle":"","family":"Liu","given":"Qian","non-dropping-particle":"","parse-names":false,"suffix":""},{"dropping-particle":"","family":"Wu","given":"Yuntao","non-dropping-particle":"","parse-names":false,"suffix":""},{"dropping-particle":"","family":"Cao","given":"Liying","non-dropping-particle":"","parse-names":false,"suffix":""}],"container-title":"Cardiovascular Diabetology","id":"ITEM-1","issue":"1","issued":{"date-parts":[["2022"]]},"page":"1-9","publisher":"BioMed Central","title":"Cumulative triglyceride-glucose index is a risk for CVD: a prospective cohort study","type":"article-journal","volume":"21"},"uris":["http://www.mendeley.com/documents/?uuid=230b35b0-0465-424f-8b84-adfe3c56d76f"]}],"mendeley":{"formattedCitation":"[14]","plainTextFormattedCitation":"[14]","previouslyFormattedCitation":"[14]"},"properties":{"noteIndex":0},"schema":"https://github.com/citation-style-language/schema/raw/master/csl-citation.json"}</w:instrText>
            </w:r>
            <w:r w:rsidR="00C53B3C">
              <w:fldChar w:fldCharType="separate"/>
            </w:r>
            <w:r w:rsidR="00C53B3C" w:rsidRPr="00C53B3C">
              <w:rPr>
                <w:noProof/>
              </w:rPr>
              <w:t>[14]</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Huang et al</w:t>
            </w:r>
            <w:r w:rsidR="00C53B3C">
              <w:fldChar w:fldCharType="begin" w:fldLock="1"/>
            </w:r>
            <w:r w:rsidR="00C53B3C">
              <w:instrText>ADDIN CSL_CITATION {"citationItems":[{"id":"ITEM-1","itemData":{"DOI":"10.1186/s12933-022-01577-7","ISBN":"1293302201","ISSN":"14752840","PMID":"35897017","abstract":"Background: It has been suggested that the baseline triglyceride-glucose (TyG) index, a simple surrogate measure for insulin resistance, is significantly associated with the occurrence of stroke. Nevertheless, the impact of longitudinal patterns of TyG on the stroke risk in hypertensive patients is still unknown. Hence, this study aimed to investigate the association between TyG index trajectory and stroke risk among hypertensive patients. Methods: This prospective study included 19,924 hypertensive patients from the Kailuan Study who underwent three waves survey and were free of myocardial infarction, cancer and stroke before or during 2010. The TyG index was calculated as ln [fasting triglyceride (mg/dL) × fasting plasma glucose (mg/dL)/2], and latent mixed modelling was used to identify the trajectory of TyG during the exposure period (2006–2010). Furthermore, the Cox proportional hazard models were applied to estimate the hazard ratio (HR) and 95% confidence interval (CI) for incident stroke of different trajectory groups. Results: Five distinct TyG trajectory were identified during 2006–2010: low-stable (n = 2483; range, 8.03–8.06), moderate low-stable (n = 9666; range, 8.58–8.57), moderate high-stable (n = 5759; range, 9.16–9.09), elevated-stable (n = 1741; range, 9.79–9.75), and elevated-increasing (n = 275; range, 10.38–10.81). During the median follow-up of 9.97 years, 1,519 cases of incident stroke were identified, including 1,351 with ischemic stroke and 215 with hemorrhage stroke. After adjusting for confounding variables, the HR and 95% CI of stroke were 2.21 (1.49,3.28) for the elevated-increasing group, 1.43 (1.13,1.83) for the elevated-stable group, 1.35 (1.10,1.64) for the moderate high-stable group, 1.26 (1.06,1.52) for the moderate low-stable group, respectively, when compare with the low-stable group. Similar results were observed in ischemic stroke, but a significant association was not found between TyG trajectory and risk of hemorrhage stroke. Conclusion: A long-term elevated TyG index in hypertensive patients is associated with an increased risk of stroke, especially ischemic stroke. This finding implies that regular monitoring of TyG index may assist in identifying individuals at a higher risk of stroke among patients with hypertension.","author":[{"dropping-particle":"","family":"Huang","given":"Zegui","non-dropping-particle":"","parse-names":false,"suffix":""},{"dropping-particle":"","family":"Ding","given":"Xiong","non-dropping-particle":"","parse-names":false,"suffix":""},{"dropping-particle":"","family":"Yue","given":"Qing","non-dropping-particle":"","parse-names":false,"suffix":""},{"dropping-particle":"","family":"Wang","given":"Xianxuan","non-dropping-particle":"","parse-names":false,"suffix":""},{"dropping-particle":"","family":"Chen","given":"Zekai","non-dropping-particle":"","parse-names":false,"suffix":""},{"dropping-particle":"","family":"Cai","given":"Zefeng","non-dropping-particle":"","parse-names":false,"suffix":""},{"dropping-particle":"","family":"Li","given":"Weijian","non-dropping-particle":"","parse-names":false,"suffix":""},{"dropping-particle":"","family":"Cai","given":"Zhiwei","non-dropping-particle":"","parse-names":false,"suffix":""},{"dropping-particle":"","family":"Chen","given":"Guanzhi","non-dropping-particle":"","parse-names":false,"suffix":""},{"dropping-particle":"","family":"Lan","given":"Yulong","non-dropping-particle":"","parse-names":false,"suffix":""},{"dropping-particle":"","family":"Wu","given":"Weiqiang","non-dropping-particle":"","parse-names":false,"suffix":""},{"dropping-particle":"","family":"Wu","given":"Shouling","non-dropping-particle":"","parse-names":false,"suffix":""},{"dropping-particle":"","family":"Chen","given":"Youren","non-dropping-particle":"","parse-names":false,"suffix":""}],"container-title":"Cardiovascular Diabetology","id":"ITEM-1","issue":"1","issued":{"date-parts":[["2022"]]},"page":"1-10","publisher":"BioMed Central","title":"Triglyceride-glucose index trajectory and stroke incidence in patients with hypertension: a prospective cohort study","type":"article-journal","volume":"21"},"uris":["http://www.mendeley.com/documents/?uuid=67697135-e1c1-40e0-a67d-d0a9fdce3c34"]}],"mendeley":{"formattedCitation":"[15]","plainTextFormattedCitation":"[15]","previouslyFormattedCitation":"[15]"},"properties":{"noteIndex":0},"schema":"https://github.com/citation-style-language/schema/raw/master/csl-citation.json"}</w:instrText>
            </w:r>
            <w:r w:rsidR="00C53B3C">
              <w:fldChar w:fldCharType="separate"/>
            </w:r>
            <w:r w:rsidR="00C53B3C" w:rsidRPr="00C53B3C">
              <w:rPr>
                <w:noProof/>
              </w:rPr>
              <w:t>[15]</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Jung et al</w:t>
            </w:r>
            <w:r w:rsidR="00C53B3C">
              <w:fldChar w:fldCharType="begin" w:fldLock="1"/>
            </w:r>
            <w:r w:rsidR="00C53B3C">
              <w:instrText>ADDIN CSL_CITATION {"citationItems":[{"id":"ITEM-1","itemData":{"DOI":"10.1186/s12933-022-01490-z","ISBN":"1293302201490","ISSN":"14752840","PMID":"35429972","abstract":"Background: The prevention of subsequent cardiovascular disease (CVD) is an essential part of cancer survivorship care. We conducted the present study to investigate the association between the TyG index (a surrogate marker of insulin resistance) and the risk of cardiovascular disease (CVD) events in cancer survivors. Methods: Adult cancer patients, who underwent routine health examinations during 2009–2010 and were survived for more than 5 years as of January 1, 2011, were followed for hospitalization of CVD (either ischemic heart disease, stroke, or heart failure) until December 2020. Cox model was used to calculate hazard ratios associated with baseline TyG index (loge [fasting triglyceride (mg) × fasting glucose (mg)/2]) for the CVD hospitalization. Results: A total of 155,167 cancer survivors (mean age 59.9 ± 12.0 years, female 59.1%) were included in this study. A graded positive association was observed between TyG and CVD hospitalization. An 8% elevated risk for CVD hospitalization was observed for a TyG index of 8-8.4 (aHR 1.08 [95% CI 1.01–1.14]); 10% elevated risk for a TyG index of 8.5–8.9 (aHR 1.10 [95% CI 1.03–1.17]); 23% elevated risk for a TyG index of 9.0-9.4 (aHR 1.23 [95% CI 1.15–1.31]); 34% elevated risk for a TyG index of 9.5–9.9 (aHR 1.34 [95% CI 1.23–1.47]); and 55% elevated risk for a TyG index ≥ 10 compared to the reference group (TyG index &lt; 8). Per 1-unit increase in the TyG index, a 16% increase in CVD hospitalization and a 45% increase in acute myocardial infarction hospitalization were demonstrated. Graded positive associations were evident for atherosclerotic CVD subtypes, such as ischemic heart disease, acute myocardial infarction, and ischemic stroke, but not for hemorrhagic stroke or heart failure. Conclusions: The TyG index may serve as a simple surrogate marker for the risk stratification of future CVD events, particularly atherosclerotic subtypes, in cancer survivors.","author":[{"dropping-particle":"","family":"Jung","given":"Mi Hyang","non-dropping-particle":"","parse-names":false,"suffix":""},{"dropping-particle":"","family":"Yi","given":"Sang Wook","non-dropping-particle":"","parse-names":false,"suffix":""},{"dropping-particle":"","family":"An","given":"Sang Joon","non-dropping-particle":"","parse-names":false,"suffix":""},{"dropping-particle":"","family":"Yi","given":"Jee Jeon","non-dropping-particle":"","parse-names":false,"suffix":""},{"dropping-particle":"","family":"Ihm","given":"Sang Hyun","non-dropping-particle":"","parse-names":false,"suffix":""},{"dropping-particle":"","family":"Han","given":"Seongwoo","non-dropping-particle":"","parse-names":false,"suffix":""},{"dropping-particle":"","family":"Ryu","given":"Kyu Hyung","non-dropping-particle":"","parse-names":false,"suffix":""},{"dropping-particle":"","family":"Jung","given":"Hae Ok","non-dropping-particle":"","parse-names":false,"suffix":""},{"dropping-particle":"","family":"Youn","given":"Ho Joong","non-dropping-particle":"","parse-names":false,"suffix":""}],"container-title":"Cardiovascular Diabetology","id":"ITEM-1","issue":"1","issued":{"date-parts":[["2022"]]},"page":"1-10","publisher":"BioMed Central","title":"Associations between the triglyceride-glucose index and cardiovascular disease in over 150,000 cancer survivors: a population-based cohort study","type":"article-journal","volume":"21"},"uris":["http://www.mendeley.com/documents/?uuid=dc779e2c-e110-4eb9-ab94-d908bdc9027c"]}],"mendeley":{"formattedCitation":"[16]","plainTextFormattedCitation":"[16]","previouslyFormattedCitation":"[16]"},"properties":{"noteIndex":0},"schema":"https://github.com/citation-style-language/schema/raw/master/csl-citation.json"}</w:instrText>
            </w:r>
            <w:r w:rsidR="00C53B3C">
              <w:fldChar w:fldCharType="separate"/>
            </w:r>
            <w:r w:rsidR="00C53B3C" w:rsidRPr="00C53B3C">
              <w:rPr>
                <w:noProof/>
              </w:rPr>
              <w:t>[16]</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Wang et al</w:t>
            </w:r>
            <w:r w:rsidR="00C53B3C">
              <w:fldChar w:fldCharType="begin" w:fldLock="1"/>
            </w:r>
            <w:r w:rsidR="00C53B3C">
              <w:instrText>ADDIN CSL_CITATION {"citationItems":[{"id":"ITEM-1","itemData":{"DOI":"10.1186/s12933-022-01510-y","ISBN":"1293302201","ISSN":"14752840","PMID":"35505313","abstract":"Background: A single measurement of the triglyceride-glucose (TyG) index, a simple and reliable surrogate marker of insulin resistance, is associated with ischemic stroke. However, evidence for an effect of a long-term elevation in TyG index on ischemic stroke is limited. Therefore, we evaluated the relationship between cumulative TyG index exposure and the risk of ischemic stroke. Methods: A total of 54,098 participants in the Kailuan study who had not experienced ischemic stroke underwent three measurements of fasting blood glucose and triglycerides during 2006–2007, 2008–2009, and 2010–2011. Cumulative exposure to TyG index was calculated as the weighted sum of the mean TyG index value for each time interval (value × time). Participants were placed into four groups according to the quartile of the weighted mean: Q1 group, &lt; 32.01; Q2 group, 32.01–34.45; Q3 group, 34.45–37.47; and Q4 group, ≥ 37.47. Cox proportional hazard models were used to assess the relationships of the cumulative TyG index with incident ischemic stroke by calculating hazard ratios (HRs) and 95% confidence intervals (95% CIs). Results: There were 2083 incident ischemic stroke events over the 9 years of follow-up. The risk of ischemic stroke increased with the quartile of cumulative TyG index. After adjustment for multiple potential confounders, participants in groups Q4, Q3, and Q2 had significantly higher risks of ischemic stroke, with HRs (95% CIs) of 1.30 (1.12–1.52), 1.26 (1.09–1.45), and 1.09 (0.94–1.27), respectively (Ptrend &lt; 0.05), compared with the Q1 group. The longer duration of high TyG index exposure was significantly associated with increased ischemic stroke. Conclusions: High cumulative TyG index is associated with a higher risk of ischemic stroke. This finding implies that monitoring and the maintenance of an appropriate TyG index may be useful for the prevention of ischemic stroke.","author":[{"dropping-particle":"","family":"Wang","given":"Xianxuan","non-dropping-particle":"","parse-names":false,"suffix":""},{"dropping-particle":"","family":"Feng","given":"Baoyu","non-dropping-particle":"","parse-names":false,"suffix":""},{"dropping-particle":"","family":"Huang","given":"Zegui","non-dropping-particle":"","parse-names":false,"suffix":""},{"dropping-particle":"","family":"Cai","given":"Zefeng","non-dropping-particle":"","parse-names":false,"suffix":""},{"dropping-particle":"","family":"Yu","given":"Xinran","non-dropping-particle":"","parse-names":false,"suffix":""},{"dropping-particle":"","family":"Chen","given":"Zekai","non-dropping-particle":"","parse-names":false,"suffix":""},{"dropping-particle":"","family":"Cai","given":"Zhiwei","non-dropping-particle":"","parse-names":false,"suffix":""},{"dropping-particle":"","family":"Chen","given":"Guanzhi","non-dropping-particle":"","parse-names":false,"suffix":""},{"dropping-particle":"","family":"Wu","given":"Shouling","non-dropping-particle":"","parse-names":false,"suffix":""},{"dropping-particle":"","family":"Chen","given":"Youren","non-dropping-particle":"","parse-names":false,"suffix":""}],"container-title":"Cardiovascular Diabetology","id":"ITEM-1","issue":"1","issued":{"date-parts":[["2022"]]},"page":"1-9","publisher":"BioMed Central","title":"Relationship of cumulative exposure to the triglyceride-glucose index with ischemic stroke: a 9-year prospective study in the Kailuan cohort","type":"article-journal","volume":"21"},"uris":["http://www.mendeley.com/documents/?uuid=f4469b3b-bf89-4636-936f-f5e22f6835fe"]}],"mendeley":{"formattedCitation":"[17]","plainTextFormattedCitation":"[17]","previouslyFormattedCitation":"[17]"},"properties":{"noteIndex":0},"schema":"https://github.com/citation-style-language/schema/raw/master/csl-citation.json"}</w:instrText>
            </w:r>
            <w:r w:rsidR="00C53B3C">
              <w:fldChar w:fldCharType="separate"/>
            </w:r>
            <w:r w:rsidR="00C53B3C" w:rsidRPr="00C53B3C">
              <w:rPr>
                <w:noProof/>
              </w:rPr>
              <w:t>[17]</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Wang et al</w:t>
            </w:r>
            <w:r w:rsidR="00C53B3C">
              <w:fldChar w:fldCharType="begin" w:fldLock="1"/>
            </w:r>
            <w:r w:rsidR="00C53B3C">
              <w:instrText>ADDIN CSL_CITATION {"citationItems":[{"id":"ITEM-1","itemData":{"DOI":"10.1186/s12933-021-01238-1","ISSN":"14752840","PMID":"33602208","abstract":"Background: Triglyceride-glucose (TyG) index was recently suggested to be a reliable surrogate marker of insulin resistance. We aim to investigate the associations between baseline and long-term TyG index with subsequent stroke and its subtypes in a community-based cohort. Methods: A total of 97,653 participants free of history of stroke in the Kailuan Study were included. TyG index was calculated as ln (fasting triglyceride [mg/dL] × fasting glucose [mg/dL]/2). Baseline TyG index was measured during 2006–2007. Updated cumulative average TyG index used all available TyG index from baseline to the outcome events of interest or the end of follow up. The outcome was the first occurrence of stroke, including ischemic stroke, intracerebral hemorrhage and subarachnoid hemorrhage. The associations of TyG index with outcomes were explored with Cox regression. Results: During a median of 11.02 years of follow-up, 5122 participants developed stroke of whom 4277 were ischemic stroke, 880 intracerebral hemorrhage, and 144 subarachnoid hemorrhage. After adjusting for confounding variables, compared with participants in the lowest quartile of baseline TyG index, those in the third and fourth quartile were associated with an increased risk of stroke (adjusted hazard ratio [HR] 1.22, 95% confidence interval [CI] 1.12–1.33, and adjusted HR 1.32, 95% CI 1.21–1.44, respectively, P for trend &lt; 0.001). We also found a linear association between baseline TyG index with stroke. Similar results were found for ischemic stroke. However, no significant associations were observed between baseline TyG index and risk of intracranial hemorrhage. Parallel results were observed for the associations of updated cumulative average TyG index with outcomes. Conclusions: Elevated levels of both baseline and long-term updated cumulative average TyG index can independently predict stroke and ischemic stroke but not intracerebral hemorrhage in the general population during an 11-year follow-up.","author":[{"dropping-particle":"","family":"Wang","given":"Anxin","non-dropping-particle":"","parse-names":false,"suffix":""},{"dropping-particle":"","family":"Wang","given":"Guangyao","non-dropping-particle":"","parse-names":false,"suffix":""},{"dropping-particle":"","family":"Liu","given":"Qian","non-dropping-particle":"","parse-names":false,"suffix":""},{"dropping-particle":"","family":"Zuo","given":"Yingting","non-dropping-particle":"","parse-names":false,"suffix":""},{"dropping-particle":"","family":"Chen","given":"Shuohua","non-dropping-particle":"","parse-names":false,"suffix":""},{"dropping-particle":"","family":"Tao","given":"Boni","non-dropping-particle":"","parse-names":false,"suffix":""},{"dropping-particle":"","family":"Tian","given":"Xue","non-dropping-particle":"","parse-names":false,"suffix":""},{"dropping-particle":"","family":"Wang","given":"Penglian","non-dropping-particle":"","parse-names":false,"suffix":""},{"dropping-particle":"","family":"Meng","given":"Xia","non-dropping-particle":"","parse-names":false,"suffix":""},{"dropping-particle":"","family":"Wu","given":"Shouling","non-dropping-particle":"","parse-names":false,"suffix":""},{"dropping-particle":"","family":"Wang","given":"Yongjun","non-dropping-particle":"","parse-names":false,"suffix":""},{"dropping-particle":"","family":"Wang","given":"Yilong","non-dropping-particle":"","parse-names":false,"suffix":""}],"container-title":"Cardiovascular Diabetology","id":"ITEM-1","issue":"1","issued":{"date-parts":[["2021"]]},"page":"1-9","publisher":"BioMed Central","title":"Triglyceride-glucose index and the risk of stroke and its subtypes in the general population: an 11-year follow-up","type":"article-journal","volume":"20"},"uris":["http://www.mendeley.com/documents/?uuid=f89d6a8a-1990-4df2-8033-db3c1514356b"]}],"mendeley":{"formattedCitation":"[18]","plainTextFormattedCitation":"[18]","previouslyFormattedCitation":"[18]"},"properties":{"noteIndex":0},"schema":"https://github.com/citation-style-language/schema/raw/master/csl-citation.json"}</w:instrText>
            </w:r>
            <w:r w:rsidR="00C53B3C">
              <w:fldChar w:fldCharType="separate"/>
            </w:r>
            <w:r w:rsidR="00C53B3C" w:rsidRPr="00C53B3C">
              <w:rPr>
                <w:noProof/>
              </w:rPr>
              <w:t>[18]</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Xu et al</w:t>
            </w:r>
            <w:r w:rsidR="00C53B3C">
              <w:fldChar w:fldCharType="begin" w:fldLock="1"/>
            </w:r>
            <w:r w:rsidR="00C53B3C">
              <w:instrText>ADDIN CSL_CITATION {"citationItems":[{"id":"ITEM-1","itemData":{"DOI":"10.1186/s12944-023-01773-8","ISSN":"1476511X","PMID":"36631854","abstract":"Background: The triglyceride–glucose index (TyG index), an alternative indicator of peripheral insulin resistance (IR), is associated with cardiovascular disease (CVD) in the general population. The aim of this research was to determine the correlation between early-onset stroke and the TyG index among young Chinese adults. Methods: Participants (age ≤ 40 years) who attended their first physical examination in Kailuan General Hospital or its 11 subsidiary hospitals between 2006 and 2012 were enrolled. The subjects were divided into four equal points according to the quartile of the TyG index, with the lowest quartile (Q1) as the reference group. A Cox proportional hazard model was employed to assess the correlation between early-onset stroke incidence and the TyG index. Restricted cubic spline analysis was further conducted to examine nonlinear associations. The TyG index was calculated as Ln [Triglyceride (TG, mg/dL) × Fasting Blood Glucose (FBG, mg/dL)/2]. Results: Overall, 35,999 subjects met the inclusion criteria. Their mean age was 30.8 ± 5.7 years, and 77.1% of subjects were males. During a median observation period of 11 years, 281 stroke events occurred (62 hemorrhagic strokes and 219 ischemic strokes). Compared to the Q1 group (as the lowest group), subjects in groups Q2-Q4 had significantly higher risks of early-onset stroke (P &lt; 0.05) after adjustment for relevant confounders in the Cox proportional hazards model. Similar results were consistent with ischemic stroke. However, no significant associations were observed between the risk of hemorrhage and the baseline TyG index. The restricted cubic splines revealed that the risk of stroke progressively increased with a high TyG index ≥ 8.41. Conclusions: The TyG index may be a major risk factor for early-onset stroke among young Chinese adults. A TyG index ≥ 8.41 can be used as an indicator for screening high-risk stroke groups.","author":[{"dropping-particle":"","family":"Xu","given":"Wenqi","non-dropping-particle":"","parse-names":false,"suffix":""},{"dropping-particle":"","family":"Zhao","given":"Haiyan","non-dropping-particle":"","parse-names":false,"suffix":""},{"dropping-particle":"","family":"Han","given":"Xu","non-dropping-particle":"","parse-names":false,"suffix":""},{"dropping-particle":"","family":"Liu","given":"Jianrong","non-dropping-particle":"","parse-names":false,"suffix":""},{"dropping-particle":"","family":"Li","given":"Haixia","non-dropping-particle":"","parse-names":false,"suffix":""},{"dropping-particle":"","family":"Sun","given":"Junyan","non-dropping-particle":"","parse-names":false,"suffix":""},{"dropping-particle":"","family":"Xing","given":"Aijun","non-dropping-particle":"","parse-names":false,"suffix":""},{"dropping-particle":"","family":"Chen","given":"Shuohua","non-dropping-particle":"","parse-names":false,"suffix":""},{"dropping-particle":"","family":"Wu","given":"Shouling","non-dropping-particle":"","parse-names":false,"suffix":""},{"dropping-particle":"","family":"Wu","given":"Yuntao","non-dropping-particle":"","parse-names":false,"suffix":""}],"container-title":"Lipids in Health and Disease","id":"ITEM-1","issue":"1","issued":{"date-parts":[["2023"]]},"page":"1-11","publisher":"BioMed Central","title":"Relationship between early-onset stroke and triglyceride-glucose index among young Chinese adults","type":"article-journal","volume":"22"},"uris":["http://www.mendeley.com/documents/?uuid=e63a91eb-6599-478f-be18-d5118d465ecb"]}],"mendeley":{"formattedCitation":"[19]","plainTextFormattedCitation":"[19]","previouslyFormattedCitation":"[19]"},"properties":{"noteIndex":0},"schema":"https://github.com/citation-style-language/schema/raw/master/csl-citation.json"}</w:instrText>
            </w:r>
            <w:r w:rsidR="00C53B3C">
              <w:fldChar w:fldCharType="separate"/>
            </w:r>
            <w:r w:rsidR="00C53B3C" w:rsidRPr="00C53B3C">
              <w:rPr>
                <w:noProof/>
              </w:rPr>
              <w:t>[19]</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Zhao et al</w:t>
            </w:r>
            <w:r w:rsidR="00C53B3C">
              <w:fldChar w:fldCharType="begin" w:fldLock="1"/>
            </w:r>
            <w:r w:rsidR="00C53B3C">
              <w:instrText>ADDIN CSL_CITATION {"citationItems":[{"id":"ITEM-1","itemData":{"DOI":"10.1186/s12933-023-02076-z","ISSN":"14752840","PMID":"38093279","abstract":"Background: Previous studies using trajectory models focused on examining the longitudinal changes in triglyceride-glucose (TyG) levels and lifestyle scores separately, without exploring the joint evolution of these two factors. This study aimed to identify the multi-trajectories of TyG levels and lifestyle scores and assess their association with the risk of cardiovascular disease (CVD). Methods: The study enrolled 47,384 participants from three health surveys of the Kailuan Study. The TyG index was computed as Ln [fasting triglycerides (mg/dL) × fasting blood glucose (mg/dL)/2], and the lifestyle scores were derived from five factors, including smoking, alcohol consumption, physical activity, sedentary behaviors, and salt intake. A group-based multi-trajectory model was adopted to identify multi-trajectories of TyG levels and lifestyle scores. The association of identified multi-trajectories with incident CVD was examined using Cox proportional hazard model. Results: Five distinct multi-trajectories of TyG levels and lifestyle scores were identified. During a median follow-up period of 10.98 years, 3042 participants developed CVD events (2481 strokes, 616 myocardial infarctions, and 55 co-current stroke and myocardial infarctions). In comparison to group 3 with the lowest TyG levels and the best lifestyle scores, the highest CVD risk was observed in group 5 characterized by the highest TyG levels and moderate lifestyle scores (HR = 1.76, 95% CI: 1.50–2.05). Group 2 with higher TyG levels and the poorest lifestyle scores had a 1.45-fold (95% CI 1.26–1.66) risk of CVD, and group 1 with lower TyG levels and poorer lifestyle scores had a 1.33-fold (95% CI 1.17–1.50) risk of CVD. Group 4, with moderate TyG levels and better lifestyle scores, exhibited the lowest CVD risk (HR = 1.32, 95% CI: 1.18–1.47). Conclusions: Distinct multi-trajectories of TyG levels and lifestyle scores corresponded to differing CVD risks. The CVD risk caused by a high level TyG trajectory remained increased despite adopting healthier lifestyles. These findings underscored the significance of evaluating the combined TyG and lifestyle patterns longitudinally, and implementing early interventions to reduce CVD risk by lowering TyG levels.","author":[{"dropping-particle":"","family":"Zhou","given":"Hui","non-dropping-particle":"","parse-names":false,"suffix":""},{"dropping-particle":"","family":"Ding","given":"Xiong","non-dropping-particle":"","parse-names":false,"suffix":""},{"dropping-particle":"","family":"Lan","given":"Yulong","non-dropping-particle":"","parse-names":false,"suffix":""},{"dropping-particle":"","family":"Chen","given":"Shuohua","non-dropping-particle":"","parse-names":false,"suffix":""},{"dropping-particle":"","family":"Wu","given":"Shouling","non-dropping-particle":"","parse-names":false,"suffix":""},{"dropping-particle":"","family":"Wu","given":"Dan","non-dropping-particle":"","parse-names":false,"suffix":""}],"container-title":"Cardiovascular Diabetology","id":"ITEM-1","issue":"1","issued":{"date-parts":[["2023"]]},"page":"1-11","title":"Multi-trajectories of triglyceride-glucose index and lifestyle with Cardiovascular Disease: a cohort study","type":"article-journal","volume":"22"},"uris":["http://www.mendeley.com/documents/?uuid=55373181-15eb-4944-a231-6ebd4ba90d8b"]}],"mendeley":{"formattedCitation":"[20]","plainTextFormattedCitation":"[20]","previouslyFormattedCitation":"[20]"},"properties":{"noteIndex":0},"schema":"https://github.com/citation-style-language/schema/raw/master/csl-citation.json"}</w:instrText>
            </w:r>
            <w:r w:rsidR="00C53B3C">
              <w:fldChar w:fldCharType="separate"/>
            </w:r>
            <w:r w:rsidR="00C53B3C" w:rsidRPr="00C53B3C">
              <w:rPr>
                <w:noProof/>
              </w:rPr>
              <w:t>[20]</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Cui et al</w:t>
            </w:r>
            <w:r w:rsidR="00C53B3C">
              <w:fldChar w:fldCharType="begin" w:fldLock="1"/>
            </w:r>
            <w:r w:rsidR="00C53B3C">
              <w:instrText>ADDIN CSL_CITATION {"citationItems":[{"id":"ITEM-1","itemData":{"DOI":"10.1186/s13098-024-01433-6","ISSN":"17585996","abstract":"Aims: The triglyceride-glucose (TyG) index and hypertension (HTN) are established risk factors of CVD. However, there is a dearth of studies investigating the synergistic influence of the elevated TyG index and HTN on CVD risk, as well as any potential interaction between these factors. Method: For this investigation, we enlisted 88,384 individuals from the Kailuan Study who did not have a history of stroke, myocardial infarction, or cancer at baseline. Incidences of CVD between 2006 and 2021 were confirmed through a thorough review of medical records. Participants were categorized into 6 groups according to BP status(normal/elevated BP, stage 1 and stage 2) or the TyG index(low and elevated group), respectively. The Cox proportional hazard regression models were used to assess the association of BP status and TyG index with incident CVD. The multiplicative and additive interactions were also determined. Results: Following a mean follow-up period of 13.66 ± 3.24 years, incidents of CVD, MI, and stroke were observed in 8,205, 1,728, and 6,705 individuals, respectively. The BP category and TyG index additively increased the risk of CVD, MI and stroke. There were significant interacting and joint effects of TyG index and BP status on CVD risk. Additionally, stratification analysis further confirmed that the relative contribution of hypertension to the CVD development decreased with deteriorating TyG index and that of TyG index was attenuated with increasing BP status. Conclusion: Our study demonstrated that a significant interaction between TyG index and BP status on the risk of CVD.","author":[{"dropping-particle":"","family":"Cui","given":"Haozhe","non-dropping-particle":"","parse-names":false,"suffix":""},{"dropping-particle":"","family":"Liu","given":"Qian","non-dropping-particle":"","parse-names":false,"suffix":""},{"dropping-particle":"","family":"Zhao","given":"Zhiming","non-dropping-particle":"","parse-names":false,"suffix":""},{"dropping-particle":"","family":"Ma","given":"Xiangming","non-dropping-particle":"","parse-names":false,"suffix":""}],"container-title":"Diabetology and Metabolic Syndrome","id":"ITEM-1","issue":"1","issued":{"date-parts":[["2024"]]},"page":"1-9","title":"Interacting and joint effects of triglyceride-glucose index and blood pressure on cardiovascular diseases risk: a prospective cohort study","type":"article-journal","volume":"16"},"uris":["http://www.mendeley.com/documents/?uuid=e57c529a-4156-43eb-ad11-7cfc8572a636"]}],"mendeley":{"formattedCitation":"[21]","plainTextFormattedCitation":"[21]","previouslyFormattedCitation":"[21]"},"properties":{"noteIndex":0},"schema":"https://github.com/citation-style-language/schema/raw/master/csl-citation.json"}</w:instrText>
            </w:r>
            <w:r w:rsidR="00C53B3C">
              <w:fldChar w:fldCharType="separate"/>
            </w:r>
            <w:r w:rsidR="00C53B3C" w:rsidRPr="00C53B3C">
              <w:rPr>
                <w:noProof/>
              </w:rPr>
              <w:t>[21]</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Xia et al</w:t>
            </w:r>
            <w:r w:rsidR="00C53B3C">
              <w:fldChar w:fldCharType="begin" w:fldLock="1"/>
            </w:r>
            <w:r w:rsidR="00C53B3C">
              <w:instrText>ADDIN CSL_CITATION {"citationItems":[{"id":"ITEM-1","itemData":{"DOI":"10.1186/s12933-024-02290-3","ISSN":"14752840","PMID":"38898520","abstract":"Background: Triglyceride glucose (TyG) index and its related parameters have been introduced as cost-effective surrogate indicators of insulin resistance, while prospective evidence of their effects on atherosclerotic cardiovascular disease (ASCVD) remained scattered and inconsistent. We aimed to evaluate the association of TyG and its related parameters with new-onset ASCVD, and the predictive capacity were further compared. Method: A total of 95,342 ASCVD-free participants were enrolled from the Kailuan study. TyG and its related parameters were defined by fasting blood glucose, triglyceride, body mass index (BMI), waist circumstance (WC) and waist-to-height ratio (WHtR). The primary outcome was incident ASCVD, comprising myocardial infarction (MI) and ischemic stroke (IS). Cox proportional hazard models and restricted cubic spline (RCS) analyses were adopted to investigate the association between each index and ASCVD. The C-index, integrated discrimination improvement (IDI), and net reclassification improvement (NRI) were used for comparison of their predictive value for ASCVD. Results: During a median follow-up of 15.0 years, 8,031 new cases of ASCVD were identified. The incidence rate of ASCVD increased along with elevated levels of each index, and the relationships were found to be nonlinear in the RCS analyses. The hazard ratio (HR) and 95% confidence interval (95% CI) for ASCVD was 1.39 (1.35, 1.43), 1.46 (1.41, 1.50), 1.50 (1.46, 1.55), and 1.52 (1.48, 1.57) per 1 IQR increase of baseline TyG, TyG-BMI, TyG-WC, and TyG-WHtR, respectively, and the association were more pronounced for females and younger individuals aged &lt; 60 years (Pfor interaction&lt;0.05). Using the updated mean or time-varying measurements instead of baseline indicators did not significantly alter the primary findings. Additionally, TyG-WC and TyG-WHtR showed better performance in predicting risk of ASCVD than TyG, with the IDI (95% CI) of 0.004 (0.001, 0.004) and 0.004 (0.001, 0.004) and the category-free NRI (95% CI) of 0.120 (0.025, 0.138) and 0.143 (0.032, 0.166), respectively. Similar findings were observed for MI and IS. Conclusions: Both the TyG index and its related parameters were significantly and positively associated with ASCVD. TyG-WC and TyG-WHtR had better performance in predicting incident ASCVD than TyG, which might be more suitable indices for risk stratification and enhance the primary prevention of ASCVD.","author":[{"dropping-particle":"","family":"Xia","given":"Xue","non-dropping-particle":"","parse-names":false,"suffix":""},{"dropping-particle":"","family":"Chen","given":"Shuohua","non-dropping-particle":"","parse-names":false,"suffix":""},{"dropping-particle":"","family":"Tian","given":"Xue","non-dropping-particle":"","parse-names":false,"suffix":""},{"dropping-particle":"","family":"Xu","given":"Qin","non-dropping-particle":"","parse-names":false,"suffix":""},{"dropping-particle":"","family":"Zhang","given":"Yijun","non-dropping-particle":"","parse-names":false,"suffix":""},{"dropping-particle":"","family":"Zhang","given":"Xiaoli","non-dropping-particle":"","parse-names":false,"suffix":""},{"dropping-particle":"","family":"Li","given":"Jing","non-dropping-particle":"","parse-names":false,"suffix":""},{"dropping-particle":"","family":"Wu","given":"Shouling","non-dropping-particle":"","parse-names":false,"suffix":""},{"dropping-particle":"","family":"Wang","given":"Anxin","non-dropping-particle":"","parse-names":false,"suffix":""}],"container-title":"Cardiovascular Diabetology","id":"ITEM-1","issue":"1","issued":{"date-parts":[["2024"]]},"page":"1-11","title":"Association of triglyceride-glucose index and its related parameters with atherosclerotic cardiovascular disease: evidence from a 15-year follow-up of Kailuan cohort","type":"article-journal","volume":"23"},"uris":["http://www.mendeley.com/documents/?uuid=fbc5b58c-584d-4397-82f6-f6b6602c359f"]}],"mendeley":{"formattedCitation":"[22]","plainTextFormattedCitation":"[22]","previouslyFormattedCitation":"[22]"},"properties":{"noteIndex":0},"schema":"https://github.com/citation-style-language/schema/raw/master/csl-citation.json"}</w:instrText>
            </w:r>
            <w:r w:rsidR="00C53B3C">
              <w:fldChar w:fldCharType="separate"/>
            </w:r>
            <w:r w:rsidR="00C53B3C" w:rsidRPr="00C53B3C">
              <w:rPr>
                <w:noProof/>
              </w:rPr>
              <w:t>[22]</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Xu et al</w:t>
            </w:r>
            <w:r w:rsidR="00C53B3C">
              <w:fldChar w:fldCharType="begin" w:fldLock="1"/>
            </w:r>
            <w:r w:rsidR="00C53B3C">
              <w:instrText>ADDIN CSL_CITATION {"citationItems":[{"id":"ITEM-1","itemData":{"DOI":"10.1038/s41598-024-70008-2","ISBN":"0123456789","ISSN":"20452322","PMID":"39154111","abstract":"Stroke is a severe cerebrovascular disease. This study aimed to determine the association between triglyceride</w:instrText>
            </w:r>
            <w:r w:rsidR="00C53B3C">
              <w:rPr>
                <w:rFonts w:ascii="Cambria Math" w:hAnsi="Cambria Math" w:cs="Cambria Math"/>
              </w:rPr>
              <w:instrText>‑</w:instrText>
            </w:r>
            <w:r w:rsidR="00C53B3C">
              <w:instrText>glucose (TyG) index and stroke among middle-aged and elderly Chinese. Data was extracted from China Health and Retirement Longitudinal Study survey 2015 and survey 2018. Logistic regression, trend test and subgroup analysis were conducted to assess the association. Possible nonlinear relationships were explored with restricted cubic spline (RCS). Propensity score matching (PSM) was conducted to attenuate the effect of confounding factors. ORs of stroke was positively associated with TyG index. The ORs in RCS analysis also increased with the rising TyG, though p for non-linearity was bigger than 0.05. After PSM, the ORs in the full adjusted models were 1.28 (1.01, 1.62). TyG was suggested as an independent risk factor for stroke in the middle aged and elderly Chinese.","author":[{"dropping-particle":"","family":"Xu","given":"Feifei","non-dropping-particle":"","parse-names":false,"suffix":""},{"dropping-particle":"","family":"Feng","given":"Yan","non-dropping-particle":"","parse-names":false,"suffix":""},{"dropping-particle":"","family":"Zhong","given":"Xi","non-dropping-particle":"","parse-names":false,"suffix":""}],"container-title":"Scientific Reports","id":"ITEM-1","issue":"1","issued":{"date-parts":[["2024"]]},"page":"1-11","publisher":"Nature Publishing Group UK","title":"Higher triglyceride</w:instrText>
            </w:r>
            <w:r w:rsidR="00C53B3C">
              <w:rPr>
                <w:rFonts w:ascii="Cambria Math" w:hAnsi="Cambria Math" w:cs="Cambria Math"/>
              </w:rPr>
              <w:instrText>‑</w:instrText>
            </w:r>
            <w:r w:rsidR="00C53B3C">
              <w:instrText>glucose index is associated with increased risk of stroke among middle-aged and elderly Chinese: a national longitudinal study","type":"article-journal","volume":"14"},"uris":["http://www.mendeley.com/documents/?uuid=c684c8dd-916e-4798-86f2-2eee4e87c298"]}],"mendeley":{"formattedCitation":"[23]","plainTextFormattedCitation":"[23]","previouslyFormattedCitation":"[23]"},"properties":{"noteIndex":0},"schema":"https://github.com/citation-style-language/schema/raw/master/csl-citation.json"}</w:instrText>
            </w:r>
            <w:r w:rsidR="00C53B3C">
              <w:fldChar w:fldCharType="separate"/>
            </w:r>
            <w:r w:rsidR="00C53B3C" w:rsidRPr="00C53B3C">
              <w:rPr>
                <w:noProof/>
              </w:rPr>
              <w:t>[23]</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Liang et al</w:t>
            </w:r>
            <w:r w:rsidR="00C53B3C">
              <w:fldChar w:fldCharType="begin" w:fldLock="1"/>
            </w:r>
            <w:r w:rsidR="00C53B3C">
              <w:instrText>ADDIN CSL_CITATION {"citationItems":[{"id":"ITEM-1","itemData":{"DOI":"10.1186/s12902-024-01729-8","ISSN":"14726823","PMID":"39487484","abstract":"BACKGROUND AND OBJECTIVE: The triglyceride-glucose (TyG) index, a surrogate marker for insulin resistance, has been proposed as a predictor of cardiovascular events. However, the combined impact of the TyG index and obesity indicators, such as body mass index (BMI), waist circumference (WC), and waist-to-height ratio (WHtR), on stroke risk was not fully understood. This study aimed to investigate the association between the TyG index combined with these obesity indicators and stroke risk in the Chinese population. MATERIALS AND METHODS: Data on 17,708 participants aged 45 years or older for this study were collected from the China Health and Retirement Longitudinal Study (CHARLS) from baseline (2011) to the Wave 5 follow-up (2020). Cox proportional hazards model, restricted cubic spline (RCS) and receiver operating characteristic (ROC) analysis were employed to examine the association between the TyG index and its combined obesity-related indicators with stroke. Mediation analysis was conducted to explore the mutual potential mediating role of TyG and obesity indicators in the above relationships. RESULTS: A total of 8,207 participants with an average age of 58.2 years were investigated, of which 11.0% were stroke individuals, 44.80% were men and 84.6% were from rural areas. TyG, TyG-BMI, TyG-WHtR, TyG-WC were significantly higher in stroke subjects than in the non-stroke subjects (P &lt; 0.001), and were significantly and positively associated with stroke in all 3 models (P &lt; 0.05). Restricted cubic spline models revealed nonlinear associations between TyG and TyG-BMI with stroke (P-overall &lt; 0.001, P-nonlinear = 0.003 for TyG, and P-overall &lt; 0.001, P-nonlinear = 0.028 for TyG-BMI), while TyG-WC and TyG-WHtR (P-overall &lt; 0.001 and P-nonlinear &gt; 0.05) demonstrated linear associations with stroke after adjusting for covariates. TyG-WHtR, TyG-BMI and TyG-WC had more robust predictive power than TyG for risk of stroke. TyG-WHtR or TyG-WC had the highest predictive power for stroke (AUC:0.696, 95% CI 0.677-0.715), slightly higher than the other indicators. Associations between TyG, TyG-WC, TyG-WHtR, and TyG-BMI with stroke were found to be stronger among individuals who were ≥ 55 years of age, male. The relationship between TyG and stroke was significantly mediated by BMI, WHtR and WC (15.79%, 21.72%, and 24.06% respectively), while the relationship between these obesity measures and stroke was significantly mediated by TyG (18.48%, 14.45%, and 14.70% respect…","author":[{"dropping-particle":"","family":"Liang","given":"Weicai","non-dropping-particle":"","parse-names":false,"suffix":""},{"dropping-particle":"","family":"Ouyang","given":"Haichun","non-dropping-particle":"","parse-names":false,"suffix":""}],"container-title":"BMC endocrine disorders","id":"ITEM-1","issue":"1","issued":{"date-parts":[["2024"]]},"page":"234","publisher":"BioMed Central","title":"The association between triglyceride-glucose index combined with obesity indicators and stroke risk: A longitudinal study based on CHARLS data","type":"article-journal","volume":"24"},"uris":["http://www.mendeley.com/documents/?uuid=7acf8dfe-41f5-4c17-8b12-7994cd0396e0"]}],"mendeley":{"formattedCitation":"[24]","plainTextFormattedCitation":"[24]","previouslyFormattedCitation":"[24]"},"properties":{"noteIndex":0},"schema":"https://github.com/citation-style-language/schema/raw/master/csl-citation.json"}</w:instrText>
            </w:r>
            <w:r w:rsidR="00C53B3C">
              <w:fldChar w:fldCharType="separate"/>
            </w:r>
            <w:r w:rsidR="00C53B3C" w:rsidRPr="00C53B3C">
              <w:rPr>
                <w:noProof/>
              </w:rPr>
              <w:t>[24]</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Yu et al</w:t>
            </w:r>
            <w:r w:rsidR="00C53B3C">
              <w:fldChar w:fldCharType="begin" w:fldLock="1"/>
            </w:r>
            <w:r w:rsidR="00C53B3C">
              <w:instrText>ADDIN CSL_CITATION {"citationItems":[{"id":"ITEM-1","itemData":{"DOI":"10.1016/j.numecd.2023.02.005","ISSN":"15903729","PMID":"37574222","abstract":"Background and aims: Data regarding the association between insulin resistance (IR) and stroke among the non-diabetic population is still limited and inconsistent. This study aimed to investigate the association between IR measured by the triglyceride-glucose (TyG) index and the risk of stroke among the middle-aged and elderly Chinese without diabetes. Methods and results: A total of 17,708 middle-aged and elderly (main respondents≥45 years) individuals without diabetes were enrolled from the China Health and Retirement Longitudinal Study. Participants were divided into 4 categories according to quartiles of the TyG index. During a median follow-up of 7.00 years, a total of 305 (3.93%) incident strokes occurred. With the increase in the TyG index quartiles, stroke incidence increased substantially, compared with the Q1 group, the fully adjusted hazard ratios (HRs) were 1.64 (95% confidence interval [CI], 1.13–2.38), 1.65 (95% CI, 1.10–2.46), and 1.76 (95% CI, 1.21–2.57) for Q2, Q3, and Q4 groups, respectively. The cutoff value we determined for the TyG index was 8.28. Furthermore, the addition of the TyG index to a conventional risk model had an incremental effect on the predictive value for stroke (integrated discrimination improvement 0.17%, P = 0.0025; category-free net reclassification improvement 17.91%, P = 0.0025). Conclusion: TyG index was significantly associated with a higher risk of stroke among the middle-aged and elderly non-diabetic population. Our findings indicated that the TyG index may be a good tool in the prediction of stroke risk for clinical and public health fields.","author":[{"dropping-particle":"","family":"Yu","given":"Yanbo","non-dropping-particle":"","parse-names":false,"suffix":""},{"dropping-particle":"","family":"Meng","given":"Ying","non-dropping-particle":"","parse-names":false,"suffix":""},{"dropping-particle":"","family":"Liu","given":"Jing","non-dropping-particle":"","parse-names":false,"suffix":""}],"container-title":"Nutrition, Metabolism and Cardiovascular Diseases","id":"ITEM-1","issue":"9","issued":{"date-parts":[["2023"]]},"page":"1684-1692","publisher":"Elsevier B.V","title":"Association between the triglyceride-glucose index and stroke in middle-aged and older non-diabetic population: A prospective cohort study","type":"article-journal","volume":"33"},"uris":["http://www.mendeley.com/documents/?uuid=2c839387-3ba8-4cb5-a4ce-42f0f668fe6e"]}],"mendeley":{"formattedCitation":"[25]","plainTextFormattedCitation":"[25]","previouslyFormattedCitation":"[25]"},"properties":{"noteIndex":0},"schema":"https://github.com/citation-style-language/schema/raw/master/csl-citation.json"}</w:instrText>
            </w:r>
            <w:r w:rsidR="00C53B3C">
              <w:fldChar w:fldCharType="separate"/>
            </w:r>
            <w:r w:rsidR="00C53B3C" w:rsidRPr="00C53B3C">
              <w:rPr>
                <w:noProof/>
              </w:rPr>
              <w:t>[25]</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Wu et al</w:t>
            </w:r>
            <w:r w:rsidR="00C53B3C">
              <w:fldChar w:fldCharType="begin" w:fldLock="1"/>
            </w:r>
            <w:r w:rsidR="00C53B3C">
              <w:instrText>ADDIN CSL_CITATION {"citationItems":[{"id":"ITEM-1","itemData":{"DOI":"10.1186/s12933-023-01870-z","ISSN":"14752840","PMID":"37296457","abstract":"Background: Stroke has been found to be highly correlated with the triglyceride-glucose (TyG) index. The relation between the TyG index changes and stroke, however, has seldom been reported, and current researches mentioning the TyG index concentrate on individual values. We aimed to investigate whether the level and the change of TyG index was associated with the incidence of stroke. Methods: Sociodemographic, medical background, anthropometric and laboratory information were retrospectively collected. Classification was conducted using k-means clustering analysis. Logistic regressions were to determine the relationship between different classes with changes in the TyG index and incidence of stroke, taking the class with the smallest change as a reference. Meanwhile, restricted cubic spline regression was applied to examine the links of cumulative TyG index and stroke. Results: 369 (7.8%) of 4710 participants had a stroke during 3 years. Compared to class 1 with the best control of the TyG Index, the OR for class 2 with good control was 1.427 (95% CI, 1.051–1.938), the OR for class 3 with moderate control was 1.714 (95% CI, 1.245–2.359), the OR for class 4 with worse control was 1.814 (95% CI, 1.257–2.617), and the OR for class 5 with consistently high levels was 2.161 (95% CI, 1.446–3.228). However, after adjusting for multiple factors, only class 3 still had an association with stroke (OR 1.430, 95%CI, 1.022-2.000). The relation between the cumulative TyG index and stroke was linear in restricted cubic spline regression. In subgroup analysis, similar results were shown in participants without diabetes or dyslipidemia. There is neither additive nor multiplicative interaction between TyG index class and covariates. Conclusion: A constant higher level with worst control in TyG index indicated a higher risk of stroke.","author":[{"dropping-particle":"","family":"Wu","given":"Yaoling","non-dropping-particle":"","parse-names":false,"suffix":""},{"dropping-particle":"","family":"Yang","given":"Yongbiao","non-dropping-particle":"","parse-names":false,"suffix":""},{"dropping-particle":"","family":"Zhang","given":"Jinsheng","non-dropping-particle":"","parse-names":false,"suffix":""},{"dropping-particle":"","family":"Liu","given":"Shuo","non-dropping-particle":"","parse-names":false,"suffix":""},{"dropping-particle":"","family":"Zhuang","given":"Weiduan","non-dropping-particle":"","parse-names":false,"suffix":""}],"container-title":"Cardiovascular Diabetology","id":"ITEM-1","issue":"1","issued":{"date-parts":[["2023"]]},"page":"1-9","title":"The change of triglyceride-glucose index may predict incidence of stroke in the general population over 45 years old","type":"article-journal","volume":"22"},"uris":["http://www.mendeley.com/documents/?uuid=1eac804b-fa71-4ce7-8815-4fee861e5185"]}],"mendeley":{"formattedCitation":"[26]","plainTextFormattedCitation":"[26]","previouslyFormattedCitation":"[26]"},"properties":{"noteIndex":0},"schema":"https://github.com/citation-style-language/schema/raw/master/csl-citation.json"}</w:instrText>
            </w:r>
            <w:r w:rsidR="00C53B3C">
              <w:fldChar w:fldCharType="separate"/>
            </w:r>
            <w:r w:rsidR="00C53B3C" w:rsidRPr="00C53B3C">
              <w:rPr>
                <w:noProof/>
              </w:rPr>
              <w:t>[26]</w:t>
            </w:r>
            <w:r w:rsidR="00C53B3C">
              <w:fldChar w:fldCharType="end"/>
            </w:r>
          </w:p>
        </w:tc>
        <w:tc>
          <w:tcPr>
            <w:tcW w:w="4505" w:type="dxa"/>
          </w:tcPr>
          <w:p w:rsidR="00F34F78" w:rsidRDefault="00F34F78" w:rsidP="00F34F78">
            <w:r>
              <w:t>Overlapping data</w:t>
            </w:r>
          </w:p>
        </w:tc>
      </w:tr>
      <w:tr w:rsidR="00F34F78" w:rsidTr="00F34F78">
        <w:tc>
          <w:tcPr>
            <w:tcW w:w="3964" w:type="dxa"/>
          </w:tcPr>
          <w:p w:rsidR="00F34F78" w:rsidRDefault="00E17305" w:rsidP="00F34F78">
            <w:r>
              <w:t>Feng et al</w:t>
            </w:r>
            <w:r w:rsidR="00C53B3C">
              <w:fldChar w:fldCharType="begin" w:fldLock="1"/>
            </w:r>
            <w:r w:rsidR="00C53B3C">
              <w:instrText>ADDIN CSL_CITATION {"citationItems":[{"id":"ITEM-1","itemData":{"DOI":"10.1016/j.numecd.2023.04.001","ISSN":"15903729","PMID":"37095018","abstract":"Background and aims: High sensitivity C-reactive protein (hsCRP) and triglyceride glucose (TyG) index were proved to be independent risk factors of cardiovascular disease (CVD). However, individual hsCRP or TyG index might not provide sufficient predictive value on CVD risk. The current study aimed to evaluate the cumulative effect of hsCRP and TyG index on CVD risk prospectively. Methods and results: A total of 9626 participants were enrolled in the analysis. The TyG index was calculated as ln(triglyceride [mg/dL] × fasting glucose [mg/dL]/2). The primary outcome was new-onset CVD events (cardiac events or stroke), and the secondary outcomes were new-onset cardiac events and stroke, separately. Participants were divided into 4 groups through the median of hsCRP and TyG index. Hazard ratios (HRs) and 95% confidence intervals (CIs) were estimated using multivariable Cox proportion hazard models. From 2013 to 2018, 1730 participants experienced CVD (570 stroke and 1306 cardiac events). Linear associations were found between hsCRP, TyG index, hsCRP/TyG ratio and CVD (all p &lt; 0.05). Compared to participants with low hsCRP/low TyG index, multivariable adjusted HRs (95% CIs) for those with high hsCRP/high TyG index were 1.17 (1.03–1.37) for CVD. No interaction of hsCRP and TyG index was found on CVD (p-interaction ≥0.05). Furthermore, adding hsCRP and TyG index simultaneously to conventional risk model improved risk reclassification for CVD, stroke and cardiac events (all p &lt; 0.05). Conclusion: The present study suggested combination of hsCRP and TyG index might better improved the ability for risk stratification of CVD among middle-aged and older Chinese.","author":[{"dropping-particle":"","family":"Feng","given":"Guijuan","non-dropping-particle":"","parse-names":false,"suffix":""},{"dropping-particle":"","family":"Yang","given":"Man","non-dropping-particle":"","parse-names":false,"suffix":""},{"dropping-particle":"","family":"Xu","given":"Lingkai","non-dropping-particle":"","parse-names":false,"suffix":""},{"dropping-particle":"","family":"Liu","given":"Yaqi","non-dropping-particle":"","parse-names":false,"suffix":""},{"dropping-particle":"","family":"Yu","given":"Jia","non-dropping-particle":"","parse-names":false,"suffix":""},{"dropping-particle":"","family":"Zang","given":"Yuhan","non-dropping-particle":"","parse-names":false,"suffix":""},{"dropping-particle":"","family":"Shen","given":"Suwen","non-dropping-particle":"","parse-names":false,"suffix":""},{"dropping-particle":"","family":"Zheng","given":"Xiaowei","non-dropping-particle":"","parse-names":false,"suffix":""}],"container-title":"Nutrition, Metabolism and Cardiovascular Diseases","id":"ITEM-1","issue":"6","issued":{"date-parts":[["2023"]]},"page":"1245-1253","publisher":"The Italian Diabetes Society, the Italian Society for the Study of Atherosclerosis, the Italian Society of Human Nutrition and the Department of Clinical Medicine and Surgery, Federico II University","title":"Combined effects of high sensitivity C-reactive protein and triglyceride–glucose index on risk of cardiovascular disease among middle-aged and older Chinese: Evidence from the China Health and Retirement Longitudinal Study","type":"article-journal","volume":"33"},"uris":["http://www.mendeley.com/documents/?uuid=0a948881-a06a-4cdf-afa3-079101d794c8"]}],"mendeley":{"formattedCitation":"[27]","plainTextFormattedCitation":"[27]","previouslyFormattedCitation":"[27]"},"properties":{"noteIndex":0},"schema":"https://github.com/citation-style-language/schema/raw/master/csl-citation.json"}</w:instrText>
            </w:r>
            <w:r w:rsidR="00C53B3C">
              <w:fldChar w:fldCharType="separate"/>
            </w:r>
            <w:r w:rsidR="00C53B3C" w:rsidRPr="00C53B3C">
              <w:rPr>
                <w:noProof/>
              </w:rPr>
              <w:t>[27]</w:t>
            </w:r>
            <w:r w:rsidR="00C53B3C">
              <w:fldChar w:fldCharType="end"/>
            </w:r>
          </w:p>
        </w:tc>
        <w:tc>
          <w:tcPr>
            <w:tcW w:w="4505" w:type="dxa"/>
          </w:tcPr>
          <w:p w:rsidR="00F34F78" w:rsidRDefault="00F34F78" w:rsidP="00F34F78">
            <w:r>
              <w:t>Overlapping data</w:t>
            </w:r>
          </w:p>
        </w:tc>
      </w:tr>
    </w:tbl>
    <w:p w:rsidR="00F34F78" w:rsidRDefault="00F34F78"/>
    <w:p w:rsidR="00C53B3C" w:rsidRDefault="00C53B3C">
      <w:r>
        <w:t>References</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fldChar w:fldCharType="begin" w:fldLock="1"/>
      </w:r>
      <w:r>
        <w:instrText xml:space="preserve">ADDIN Mendeley Bibliography CSL_BIBLIOGRAPHY </w:instrText>
      </w:r>
      <w:r>
        <w:fldChar w:fldCharType="separate"/>
      </w:r>
      <w:r w:rsidRPr="00C53B3C">
        <w:rPr>
          <w:rFonts w:ascii="Calibri" w:hAnsi="Calibri" w:cs="Calibri"/>
          <w:noProof/>
          <w:lang w:val="en-GB"/>
        </w:rPr>
        <w:t xml:space="preserve">1 </w:t>
      </w:r>
      <w:r w:rsidRPr="00C53B3C">
        <w:rPr>
          <w:rFonts w:ascii="Calibri" w:hAnsi="Calibri" w:cs="Calibri"/>
          <w:noProof/>
          <w:lang w:val="en-GB"/>
        </w:rPr>
        <w:tab/>
        <w:t xml:space="preserve">Lopez-Jaramillo P, Gomez-Arbelaez D, Martinez-Bello D, Abat MEM, Alhabib KF, Avezum Á, et al. Association of the triglyceride glucose index as a measure of insulin resistance with mortality and cardiovascular disease in populations from five continents (PURE study): a prospective cohort study. Lancet Heal Longev. 2023;4(1):e23–33.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2 </w:t>
      </w:r>
      <w:r w:rsidRPr="00C53B3C">
        <w:rPr>
          <w:rFonts w:ascii="Calibri" w:hAnsi="Calibri" w:cs="Calibri"/>
          <w:noProof/>
          <w:lang w:val="en-GB"/>
        </w:rPr>
        <w:tab/>
        <w:t xml:space="preserve">Huang Q, Yin L, Liu Z, Wei M, Feng J, Huang Q, et al. Association of novel lipid indicators with the risk of stroke among participants in Central China: a population-based prospective study. Front Endocrinol (Lausanne). 2023;14(October):1–12.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3 </w:t>
      </w:r>
      <w:r w:rsidRPr="00C53B3C">
        <w:rPr>
          <w:rFonts w:ascii="Calibri" w:hAnsi="Calibri" w:cs="Calibri"/>
          <w:noProof/>
          <w:lang w:val="en-GB"/>
        </w:rPr>
        <w:tab/>
        <w:t xml:space="preserve">Wu M, Li C, Yu Y, Zeng L, Qiu Y, Liu J, et al. Association between the triglyceride-glucose (TyG) index and stroke risk in Chinese normal-weight adults: a population-based study. Diabetol Metab Syndr. 2024;16(1):1–11.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4 </w:t>
      </w:r>
      <w:r w:rsidRPr="00C53B3C">
        <w:rPr>
          <w:rFonts w:ascii="Calibri" w:hAnsi="Calibri" w:cs="Calibri"/>
          <w:noProof/>
          <w:lang w:val="en-GB"/>
        </w:rPr>
        <w:tab/>
        <w:t>Jiang M, Wu H, Zhang H, Su F, Cao L, Ren X, et al. Association between the Triglyceride-Glucose Index and the Risk of Large Artery Atherosclerotic Stroke. Int J Clin Pract. 2022;2022. DOI: 10.1155/2022/5191581</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lastRenderedPageBreak/>
        <w:t xml:space="preserve">5 </w:t>
      </w:r>
      <w:r w:rsidRPr="00C53B3C">
        <w:rPr>
          <w:rFonts w:ascii="Calibri" w:hAnsi="Calibri" w:cs="Calibri"/>
          <w:noProof/>
          <w:lang w:val="en-GB"/>
        </w:rPr>
        <w:tab/>
        <w:t xml:space="preserve">Wang S, Zhang X, Keerman M, Guo H, He J, Maimaitijiang R, et al. Impact of the baseline insulin resistance surrogates and their longitudinal trajectories on cardiovascular disease (coronary heart disease and stroke): a prospective cohort study in rural China. Front Endocrinol (Lausanne). 2023;14(December):1–12.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6 </w:t>
      </w:r>
      <w:r w:rsidRPr="00C53B3C">
        <w:rPr>
          <w:rFonts w:ascii="Calibri" w:hAnsi="Calibri" w:cs="Calibri"/>
          <w:noProof/>
          <w:lang w:val="en-GB"/>
        </w:rPr>
        <w:tab/>
        <w:t>Chen F, Pan Y, Liu Z, Huang R, Wang J, Shao J, et al. Impact of Visit-to-Visit Triglyceride-Glucose Index Variability on the Risk of Cardiovascular Disease in the Elderly. Int J Endocrinol. 2022;2022. DOI: 10.1155/2022/5125884</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7 </w:t>
      </w:r>
      <w:r w:rsidRPr="00C53B3C">
        <w:rPr>
          <w:rFonts w:ascii="Calibri" w:hAnsi="Calibri" w:cs="Calibri"/>
          <w:noProof/>
          <w:lang w:val="en-GB"/>
        </w:rPr>
        <w:tab/>
        <w:t xml:space="preserve">Mirshafiei H, Darroudi S, Ghayour-Mobarhan M, Esmaeili H, AkbariRad M, Mouhebati M, et al. Altered triglyceride glucose index and fasted serum triglyceride high-density lipoprotein cholesterol ratio predict incidence of cardiovascular disease in the Mashhad cohort study. BioFactors. 2022;48(3):643–50.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8 </w:t>
      </w:r>
      <w:r w:rsidRPr="00C53B3C">
        <w:rPr>
          <w:rFonts w:ascii="Calibri" w:hAnsi="Calibri" w:cs="Calibri"/>
          <w:noProof/>
          <w:lang w:val="en-GB"/>
        </w:rPr>
        <w:tab/>
        <w:t xml:space="preserve">Zhang N, Chi X, Zhou Z, Song Y, Li S, Xu J, et al. Triglyceride-glucose index is associated with a higher risk of stroke in a hypertensive population. Cardiovasc Diabetol. 2023;22(1):1–8.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9 </w:t>
      </w:r>
      <w:r w:rsidRPr="00C53B3C">
        <w:rPr>
          <w:rFonts w:ascii="Calibri" w:hAnsi="Calibri" w:cs="Calibri"/>
          <w:noProof/>
          <w:lang w:val="en-GB"/>
        </w:rPr>
        <w:tab/>
        <w:t xml:space="preserve">Hu L, Bao H, Huang X, Li M, Cheng X, Zhou W, et al. Relationship Between the Triglyceride Glucose Index and the Risk of First Stroke in Elderly Hypertensive Patients. Int J Gen Med. 2022;15(December 2021):1271–9.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10 </w:t>
      </w:r>
      <w:r w:rsidRPr="00C53B3C">
        <w:rPr>
          <w:rFonts w:ascii="Calibri" w:hAnsi="Calibri" w:cs="Calibri"/>
          <w:noProof/>
          <w:lang w:val="en-GB"/>
        </w:rPr>
        <w:tab/>
        <w:t>Esin F, Ince HS, Aktürk S, Citekci FT, Celik A, Kocabas U, et al. The Relationship Between the Triglyceride-Glucose Index and Cryptogenic Stroke in Patients with Patent Foramen Ovale. Clin Appl Thromb. 2024;30. DOI: 10.1177/10760296241301411</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11 </w:t>
      </w:r>
      <w:r w:rsidRPr="00C53B3C">
        <w:rPr>
          <w:rFonts w:ascii="Calibri" w:hAnsi="Calibri" w:cs="Calibri"/>
          <w:noProof/>
          <w:lang w:val="en-GB"/>
        </w:rPr>
        <w:tab/>
        <w:t xml:space="preserve">Ayça B, Yıldız C, Yüksel Y, Katkat F, Arpaç A, Çağlar FNT, et al. Evaluation of Triglyceride Glucose Index in Patients with Patent Foramen Ovale Who Experienced Cryptogenic Stroke. J Clin Med. 2024;13(23):1–11.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12 </w:t>
      </w:r>
      <w:r w:rsidRPr="00C53B3C">
        <w:rPr>
          <w:rFonts w:ascii="Calibri" w:hAnsi="Calibri" w:cs="Calibri"/>
          <w:noProof/>
          <w:lang w:val="en-GB"/>
        </w:rPr>
        <w:tab/>
        <w:t xml:space="preserve">Tian X, Zuo Y, Chen S, Meng X, Chen P, Wang Y, et al. Distinct triglyceride-glucose trajectories are associated with different risks of incident cardiovascular disease in normal-weight adults. Am Heart J. 2022;248:63–71.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13 </w:t>
      </w:r>
      <w:r w:rsidRPr="00C53B3C">
        <w:rPr>
          <w:rFonts w:ascii="Calibri" w:hAnsi="Calibri" w:cs="Calibri"/>
          <w:noProof/>
          <w:lang w:val="en-GB"/>
        </w:rPr>
        <w:tab/>
        <w:t xml:space="preserve">Wang A, Tian X, Zuo Y, Chen S, Meng X, Wu S, et al. Change in triglyceride-glucose index predicts the risk of cardiovascular disease in the general population: a prospective cohort study. Cardiovasc Diabetol. 2021;20(1):1–9.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14 </w:t>
      </w:r>
      <w:r w:rsidRPr="00C53B3C">
        <w:rPr>
          <w:rFonts w:ascii="Calibri" w:hAnsi="Calibri" w:cs="Calibri"/>
          <w:noProof/>
          <w:lang w:val="en-GB"/>
        </w:rPr>
        <w:tab/>
        <w:t xml:space="preserve">Cui H, Liu Q, Wu Y, Cao L. Cumulative triglyceride-glucose index is a risk for CVD: a prospective cohort study. Cardiovasc Diabetol. 2022;21(1):1–9.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15 </w:t>
      </w:r>
      <w:r w:rsidRPr="00C53B3C">
        <w:rPr>
          <w:rFonts w:ascii="Calibri" w:hAnsi="Calibri" w:cs="Calibri"/>
          <w:noProof/>
          <w:lang w:val="en-GB"/>
        </w:rPr>
        <w:tab/>
        <w:t xml:space="preserve">Huang Z, Ding X, Yue Q, Wang X, Chen Z, Cai Z, et al. Triglyceride-glucose index trajectory and stroke incidence in patients with hypertension: a prospective cohort study. Cardiovasc Diabetol. 2022;21(1):1–10.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16 </w:t>
      </w:r>
      <w:r w:rsidRPr="00C53B3C">
        <w:rPr>
          <w:rFonts w:ascii="Calibri" w:hAnsi="Calibri" w:cs="Calibri"/>
          <w:noProof/>
          <w:lang w:val="en-GB"/>
        </w:rPr>
        <w:tab/>
        <w:t xml:space="preserve">Jung MH, Yi SW, An SJ, Yi JJ, Ihm SH, Han S, et al. Associations between the triglyceride-glucose index and cardiovascular disease in over 150,000 cancer survivors: a population-based cohort study. Cardiovasc Diabetol. 2022;21(1):1–10.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17 </w:t>
      </w:r>
      <w:r w:rsidRPr="00C53B3C">
        <w:rPr>
          <w:rFonts w:ascii="Calibri" w:hAnsi="Calibri" w:cs="Calibri"/>
          <w:noProof/>
          <w:lang w:val="en-GB"/>
        </w:rPr>
        <w:tab/>
        <w:t xml:space="preserve">Wang X, Feng B, Huang Z, Cai Z, Yu X, Chen Z, et al. Relationship of cumulative exposure to the triglyceride-glucose index with ischemic stroke: a 9-year prospective study in the Kailuan cohort. Cardiovasc Diabetol. 2022;21(1):1–9.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18 </w:t>
      </w:r>
      <w:r w:rsidRPr="00C53B3C">
        <w:rPr>
          <w:rFonts w:ascii="Calibri" w:hAnsi="Calibri" w:cs="Calibri"/>
          <w:noProof/>
          <w:lang w:val="en-GB"/>
        </w:rPr>
        <w:tab/>
        <w:t xml:space="preserve">Wang A, Wang G, Liu Q, Zuo Y, Chen S, Tao B, et al. Triglyceride-glucose index and the risk of stroke and its subtypes in the general population: an 11-year follow-up. Cardiovasc Diabetol. 2021;20(1):1–9.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19 </w:t>
      </w:r>
      <w:r w:rsidRPr="00C53B3C">
        <w:rPr>
          <w:rFonts w:ascii="Calibri" w:hAnsi="Calibri" w:cs="Calibri"/>
          <w:noProof/>
          <w:lang w:val="en-GB"/>
        </w:rPr>
        <w:tab/>
        <w:t xml:space="preserve">Xu W, Zhao H, Han X, Liu J, Li H, Sun J, et al. Relationship between early-onset stroke and triglyceride-glucose index among young Chinese adults. Lipids Health Dis. 2023;22(1):1–11.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lastRenderedPageBreak/>
        <w:t xml:space="preserve">20 </w:t>
      </w:r>
      <w:r w:rsidRPr="00C53B3C">
        <w:rPr>
          <w:rFonts w:ascii="Calibri" w:hAnsi="Calibri" w:cs="Calibri"/>
          <w:noProof/>
          <w:lang w:val="en-GB"/>
        </w:rPr>
        <w:tab/>
        <w:t xml:space="preserve">Zhou H, Ding X, Lan Y, Chen S, Wu S, Wu D. Multi-trajectories of triglyceride-glucose index and lifestyle with Cardiovascular Disease: a cohort study. Cardiovasc Diabetol. 2023;22(1):1–11.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21 </w:t>
      </w:r>
      <w:r w:rsidRPr="00C53B3C">
        <w:rPr>
          <w:rFonts w:ascii="Calibri" w:hAnsi="Calibri" w:cs="Calibri"/>
          <w:noProof/>
          <w:lang w:val="en-GB"/>
        </w:rPr>
        <w:tab/>
        <w:t xml:space="preserve">Cui H, Liu Q, Zhao Z, Ma X. Interacting and joint effects of triglyceride-glucose index and blood pressure on cardiovascular diseases risk: a prospective cohort study. Diabetol Metab Syndr. 2024;16(1):1–9.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22 </w:t>
      </w:r>
      <w:r w:rsidRPr="00C53B3C">
        <w:rPr>
          <w:rFonts w:ascii="Calibri" w:hAnsi="Calibri" w:cs="Calibri"/>
          <w:noProof/>
          <w:lang w:val="en-GB"/>
        </w:rPr>
        <w:tab/>
        <w:t xml:space="preserve">Xia X, Chen S, Tian X, Xu Q, Zhang Y, Zhang X, et al. Association of triglyceride-glucose index and its related parameters with atherosclerotic cardiovascular disease: evidence from a 15-year follow-up of Kailuan cohort. Cardiovasc Diabetol. 2024;23(1):1–11.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23 </w:t>
      </w:r>
      <w:r w:rsidRPr="00C53B3C">
        <w:rPr>
          <w:rFonts w:ascii="Calibri" w:hAnsi="Calibri" w:cs="Calibri"/>
          <w:noProof/>
          <w:lang w:val="en-GB"/>
        </w:rPr>
        <w:tab/>
        <w:t>Xu F, Feng Y, Zhong X. Higher triglyceride</w:t>
      </w:r>
      <w:r w:rsidRPr="00C53B3C">
        <w:rPr>
          <w:rFonts w:ascii="Cambria Math" w:hAnsi="Cambria Math" w:cs="Cambria Math"/>
          <w:noProof/>
          <w:lang w:val="en-GB"/>
        </w:rPr>
        <w:t>‑</w:t>
      </w:r>
      <w:r w:rsidRPr="00C53B3C">
        <w:rPr>
          <w:rFonts w:ascii="Calibri" w:hAnsi="Calibri" w:cs="Calibri"/>
          <w:noProof/>
          <w:lang w:val="en-GB"/>
        </w:rPr>
        <w:t xml:space="preserve">glucose index is associated with increased risk of stroke among middle-aged and elderly Chinese: a national longitudinal study. Sci Rep. 2024;14(1):1–11.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24 </w:t>
      </w:r>
      <w:r w:rsidRPr="00C53B3C">
        <w:rPr>
          <w:rFonts w:ascii="Calibri" w:hAnsi="Calibri" w:cs="Calibri"/>
          <w:noProof/>
          <w:lang w:val="en-GB"/>
        </w:rPr>
        <w:tab/>
        <w:t xml:space="preserve">Liang W, Ouyang H. The association between triglyceride-glucose index combined with obesity indicators and stroke risk: A longitudinal study based on CHARLS data. BMC Endocr Disord. 2024;24(1):234.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25 </w:t>
      </w:r>
      <w:r w:rsidRPr="00C53B3C">
        <w:rPr>
          <w:rFonts w:ascii="Calibri" w:hAnsi="Calibri" w:cs="Calibri"/>
          <w:noProof/>
          <w:lang w:val="en-GB"/>
        </w:rPr>
        <w:tab/>
        <w:t xml:space="preserve">Yu Y, Meng Y, Liu J. Association between the triglyceride-glucose index and stroke in middle-aged and older non-diabetic population: A prospective cohort study. Nutr Metab Cardiovasc Dis. 2023;33(9):1684–92. </w:t>
      </w:r>
    </w:p>
    <w:p w:rsidR="00C53B3C" w:rsidRPr="00C53B3C" w:rsidRDefault="00C53B3C" w:rsidP="00C53B3C">
      <w:pPr>
        <w:widowControl w:val="0"/>
        <w:autoSpaceDE w:val="0"/>
        <w:autoSpaceDN w:val="0"/>
        <w:adjustRightInd w:val="0"/>
        <w:ind w:left="640" w:hanging="640"/>
        <w:rPr>
          <w:rFonts w:ascii="Calibri" w:hAnsi="Calibri" w:cs="Calibri"/>
          <w:noProof/>
          <w:lang w:val="en-GB"/>
        </w:rPr>
      </w:pPr>
      <w:r w:rsidRPr="00C53B3C">
        <w:rPr>
          <w:rFonts w:ascii="Calibri" w:hAnsi="Calibri" w:cs="Calibri"/>
          <w:noProof/>
          <w:lang w:val="en-GB"/>
        </w:rPr>
        <w:t xml:space="preserve">26 </w:t>
      </w:r>
      <w:r w:rsidRPr="00C53B3C">
        <w:rPr>
          <w:rFonts w:ascii="Calibri" w:hAnsi="Calibri" w:cs="Calibri"/>
          <w:noProof/>
          <w:lang w:val="en-GB"/>
        </w:rPr>
        <w:tab/>
        <w:t xml:space="preserve">Wu Y, Yang Y, Zhang J, Liu S, Zhuang W. The change of triglyceride-glucose index may predict incidence of stroke in the general population over 45 years old. Cardiovasc Diabetol. 2023;22(1):1–9. </w:t>
      </w:r>
    </w:p>
    <w:p w:rsidR="00C53B3C" w:rsidRPr="00C53B3C" w:rsidRDefault="00C53B3C" w:rsidP="00C53B3C">
      <w:pPr>
        <w:widowControl w:val="0"/>
        <w:autoSpaceDE w:val="0"/>
        <w:autoSpaceDN w:val="0"/>
        <w:adjustRightInd w:val="0"/>
        <w:ind w:left="640" w:hanging="640"/>
        <w:rPr>
          <w:rFonts w:ascii="Calibri" w:hAnsi="Calibri" w:cs="Calibri"/>
          <w:noProof/>
        </w:rPr>
      </w:pPr>
      <w:r w:rsidRPr="00C53B3C">
        <w:rPr>
          <w:rFonts w:ascii="Calibri" w:hAnsi="Calibri" w:cs="Calibri"/>
          <w:noProof/>
          <w:lang w:val="en-GB"/>
        </w:rPr>
        <w:t xml:space="preserve">27 </w:t>
      </w:r>
      <w:r w:rsidRPr="00C53B3C">
        <w:rPr>
          <w:rFonts w:ascii="Calibri" w:hAnsi="Calibri" w:cs="Calibri"/>
          <w:noProof/>
          <w:lang w:val="en-GB"/>
        </w:rPr>
        <w:tab/>
        <w:t xml:space="preserve">Feng G, Yang M, Xu L, Liu Y, Yu J, Zang Y, et al. Combined effects of high sensitivity C-reactive protein and triglyceride–glucose index on risk of cardiovascular disease among middle-aged and older Chinese: Evidence from the China Health and Retirement Longitudinal Study. Nutr Metab Cardiovasc Dis. 2023;33(6):1245–53. </w:t>
      </w:r>
    </w:p>
    <w:p w:rsidR="00C53B3C" w:rsidRDefault="00C53B3C">
      <w:r>
        <w:fldChar w:fldCharType="end"/>
      </w:r>
      <w:bookmarkStart w:id="0" w:name="_GoBack"/>
      <w:bookmarkEnd w:id="0"/>
    </w:p>
    <w:sectPr w:rsidR="00C53B3C" w:rsidSect="00613C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78"/>
    <w:rsid w:val="000001A2"/>
    <w:rsid w:val="00000852"/>
    <w:rsid w:val="00002E18"/>
    <w:rsid w:val="00003A94"/>
    <w:rsid w:val="00003CA4"/>
    <w:rsid w:val="0000451A"/>
    <w:rsid w:val="00005C29"/>
    <w:rsid w:val="00005D48"/>
    <w:rsid w:val="00007C24"/>
    <w:rsid w:val="00010749"/>
    <w:rsid w:val="00010B2F"/>
    <w:rsid w:val="00011320"/>
    <w:rsid w:val="00011487"/>
    <w:rsid w:val="0001155D"/>
    <w:rsid w:val="00013FC6"/>
    <w:rsid w:val="000141D8"/>
    <w:rsid w:val="00014966"/>
    <w:rsid w:val="000157C1"/>
    <w:rsid w:val="00015CF6"/>
    <w:rsid w:val="000160BB"/>
    <w:rsid w:val="000174B8"/>
    <w:rsid w:val="00017E78"/>
    <w:rsid w:val="00020070"/>
    <w:rsid w:val="00020307"/>
    <w:rsid w:val="00020A7E"/>
    <w:rsid w:val="00020E32"/>
    <w:rsid w:val="00020F8E"/>
    <w:rsid w:val="000213B4"/>
    <w:rsid w:val="0002219B"/>
    <w:rsid w:val="0002229C"/>
    <w:rsid w:val="000226DB"/>
    <w:rsid w:val="000227CA"/>
    <w:rsid w:val="0002351A"/>
    <w:rsid w:val="00023906"/>
    <w:rsid w:val="00024280"/>
    <w:rsid w:val="0002495A"/>
    <w:rsid w:val="00024C7D"/>
    <w:rsid w:val="00026852"/>
    <w:rsid w:val="00027BF3"/>
    <w:rsid w:val="00030663"/>
    <w:rsid w:val="00031050"/>
    <w:rsid w:val="000322EB"/>
    <w:rsid w:val="00032E33"/>
    <w:rsid w:val="00033C9E"/>
    <w:rsid w:val="000340FE"/>
    <w:rsid w:val="000342C0"/>
    <w:rsid w:val="0003464C"/>
    <w:rsid w:val="0003467D"/>
    <w:rsid w:val="000346A3"/>
    <w:rsid w:val="00034C4F"/>
    <w:rsid w:val="00035848"/>
    <w:rsid w:val="00037693"/>
    <w:rsid w:val="000378E4"/>
    <w:rsid w:val="00037BB7"/>
    <w:rsid w:val="0004308C"/>
    <w:rsid w:val="0004320B"/>
    <w:rsid w:val="000432B9"/>
    <w:rsid w:val="000470FC"/>
    <w:rsid w:val="000477A3"/>
    <w:rsid w:val="0005089F"/>
    <w:rsid w:val="00052AC2"/>
    <w:rsid w:val="00052B1E"/>
    <w:rsid w:val="000537FF"/>
    <w:rsid w:val="00053DCB"/>
    <w:rsid w:val="00055B09"/>
    <w:rsid w:val="000562A7"/>
    <w:rsid w:val="0005708F"/>
    <w:rsid w:val="0005740E"/>
    <w:rsid w:val="00057C71"/>
    <w:rsid w:val="000615CB"/>
    <w:rsid w:val="00061AB4"/>
    <w:rsid w:val="000621CE"/>
    <w:rsid w:val="00062523"/>
    <w:rsid w:val="000625BA"/>
    <w:rsid w:val="00062B21"/>
    <w:rsid w:val="000638A0"/>
    <w:rsid w:val="00064FC9"/>
    <w:rsid w:val="00065189"/>
    <w:rsid w:val="000651E2"/>
    <w:rsid w:val="0006544B"/>
    <w:rsid w:val="00066727"/>
    <w:rsid w:val="00066B71"/>
    <w:rsid w:val="00067043"/>
    <w:rsid w:val="00067920"/>
    <w:rsid w:val="000703EF"/>
    <w:rsid w:val="000706B9"/>
    <w:rsid w:val="00072FAE"/>
    <w:rsid w:val="0007467B"/>
    <w:rsid w:val="000746CE"/>
    <w:rsid w:val="00075CB9"/>
    <w:rsid w:val="0007653B"/>
    <w:rsid w:val="00076F42"/>
    <w:rsid w:val="000806F3"/>
    <w:rsid w:val="00080E97"/>
    <w:rsid w:val="00082355"/>
    <w:rsid w:val="000830B2"/>
    <w:rsid w:val="000832A7"/>
    <w:rsid w:val="00083B78"/>
    <w:rsid w:val="0008418E"/>
    <w:rsid w:val="00084CB0"/>
    <w:rsid w:val="000852AB"/>
    <w:rsid w:val="00085653"/>
    <w:rsid w:val="00086731"/>
    <w:rsid w:val="00087EAA"/>
    <w:rsid w:val="0009030D"/>
    <w:rsid w:val="0009045E"/>
    <w:rsid w:val="00091D87"/>
    <w:rsid w:val="00092099"/>
    <w:rsid w:val="00092CA6"/>
    <w:rsid w:val="0009521D"/>
    <w:rsid w:val="00095AA0"/>
    <w:rsid w:val="00096195"/>
    <w:rsid w:val="000A04D7"/>
    <w:rsid w:val="000A0A4E"/>
    <w:rsid w:val="000A1436"/>
    <w:rsid w:val="000A1F62"/>
    <w:rsid w:val="000A2216"/>
    <w:rsid w:val="000A2864"/>
    <w:rsid w:val="000A2AA8"/>
    <w:rsid w:val="000A2B25"/>
    <w:rsid w:val="000A3E96"/>
    <w:rsid w:val="000B00F6"/>
    <w:rsid w:val="000B0281"/>
    <w:rsid w:val="000B0830"/>
    <w:rsid w:val="000B0956"/>
    <w:rsid w:val="000B0E37"/>
    <w:rsid w:val="000B356A"/>
    <w:rsid w:val="000B3587"/>
    <w:rsid w:val="000B3988"/>
    <w:rsid w:val="000B4548"/>
    <w:rsid w:val="000B49AE"/>
    <w:rsid w:val="000B77F5"/>
    <w:rsid w:val="000C0511"/>
    <w:rsid w:val="000C149F"/>
    <w:rsid w:val="000C2430"/>
    <w:rsid w:val="000C5B87"/>
    <w:rsid w:val="000C6219"/>
    <w:rsid w:val="000C66CB"/>
    <w:rsid w:val="000C7FBF"/>
    <w:rsid w:val="000D1751"/>
    <w:rsid w:val="000D19CE"/>
    <w:rsid w:val="000D1EDA"/>
    <w:rsid w:val="000D2478"/>
    <w:rsid w:val="000D2F56"/>
    <w:rsid w:val="000D2FF7"/>
    <w:rsid w:val="000D3684"/>
    <w:rsid w:val="000D3FE7"/>
    <w:rsid w:val="000D4C52"/>
    <w:rsid w:val="000D4D7A"/>
    <w:rsid w:val="000D5DE0"/>
    <w:rsid w:val="000D5FA6"/>
    <w:rsid w:val="000D6834"/>
    <w:rsid w:val="000D7A1B"/>
    <w:rsid w:val="000D7FD7"/>
    <w:rsid w:val="000E0503"/>
    <w:rsid w:val="000E06AC"/>
    <w:rsid w:val="000E14C2"/>
    <w:rsid w:val="000E299E"/>
    <w:rsid w:val="000E32B0"/>
    <w:rsid w:val="000E36FF"/>
    <w:rsid w:val="000E4D68"/>
    <w:rsid w:val="000E62AD"/>
    <w:rsid w:val="000E63DF"/>
    <w:rsid w:val="000E6A24"/>
    <w:rsid w:val="000E71E0"/>
    <w:rsid w:val="000E7E62"/>
    <w:rsid w:val="000F1081"/>
    <w:rsid w:val="000F1D0A"/>
    <w:rsid w:val="000F1DC5"/>
    <w:rsid w:val="000F248A"/>
    <w:rsid w:val="000F2B5F"/>
    <w:rsid w:val="000F2C85"/>
    <w:rsid w:val="000F35B2"/>
    <w:rsid w:val="000F3620"/>
    <w:rsid w:val="000F41C6"/>
    <w:rsid w:val="000F4795"/>
    <w:rsid w:val="000F5508"/>
    <w:rsid w:val="000F5AC8"/>
    <w:rsid w:val="000F5BBF"/>
    <w:rsid w:val="000F5E82"/>
    <w:rsid w:val="000F7333"/>
    <w:rsid w:val="000F7A9B"/>
    <w:rsid w:val="000F7ECF"/>
    <w:rsid w:val="0010018A"/>
    <w:rsid w:val="0010134B"/>
    <w:rsid w:val="00101432"/>
    <w:rsid w:val="001028A9"/>
    <w:rsid w:val="00105864"/>
    <w:rsid w:val="00105883"/>
    <w:rsid w:val="00105C71"/>
    <w:rsid w:val="00106581"/>
    <w:rsid w:val="0010756E"/>
    <w:rsid w:val="00107A6C"/>
    <w:rsid w:val="00110480"/>
    <w:rsid w:val="00110FD4"/>
    <w:rsid w:val="001116E2"/>
    <w:rsid w:val="00112770"/>
    <w:rsid w:val="00112B7A"/>
    <w:rsid w:val="00113DD9"/>
    <w:rsid w:val="0011464E"/>
    <w:rsid w:val="001148FE"/>
    <w:rsid w:val="00115F16"/>
    <w:rsid w:val="00116198"/>
    <w:rsid w:val="00116C7C"/>
    <w:rsid w:val="00117314"/>
    <w:rsid w:val="0012057C"/>
    <w:rsid w:val="00120DE9"/>
    <w:rsid w:val="001210E9"/>
    <w:rsid w:val="0012249A"/>
    <w:rsid w:val="00123B42"/>
    <w:rsid w:val="001240EB"/>
    <w:rsid w:val="00124AA8"/>
    <w:rsid w:val="00125951"/>
    <w:rsid w:val="00125E3D"/>
    <w:rsid w:val="00127192"/>
    <w:rsid w:val="0012750B"/>
    <w:rsid w:val="0013089E"/>
    <w:rsid w:val="00130DF3"/>
    <w:rsid w:val="00131256"/>
    <w:rsid w:val="00132B6C"/>
    <w:rsid w:val="00132D71"/>
    <w:rsid w:val="00132DED"/>
    <w:rsid w:val="001343DC"/>
    <w:rsid w:val="00135398"/>
    <w:rsid w:val="00135D6F"/>
    <w:rsid w:val="0013758B"/>
    <w:rsid w:val="001375D5"/>
    <w:rsid w:val="00142923"/>
    <w:rsid w:val="00143750"/>
    <w:rsid w:val="00143BFC"/>
    <w:rsid w:val="00143D5B"/>
    <w:rsid w:val="00144743"/>
    <w:rsid w:val="001461D9"/>
    <w:rsid w:val="00146F20"/>
    <w:rsid w:val="001531EB"/>
    <w:rsid w:val="00153D6B"/>
    <w:rsid w:val="0015467A"/>
    <w:rsid w:val="00154972"/>
    <w:rsid w:val="001571C0"/>
    <w:rsid w:val="001606A3"/>
    <w:rsid w:val="001614CD"/>
    <w:rsid w:val="00161F64"/>
    <w:rsid w:val="00163ADF"/>
    <w:rsid w:val="00165153"/>
    <w:rsid w:val="00166B09"/>
    <w:rsid w:val="00166CDE"/>
    <w:rsid w:val="00171126"/>
    <w:rsid w:val="0017241A"/>
    <w:rsid w:val="0017293B"/>
    <w:rsid w:val="0017299A"/>
    <w:rsid w:val="00174E4C"/>
    <w:rsid w:val="00176788"/>
    <w:rsid w:val="00177EBA"/>
    <w:rsid w:val="00177EC1"/>
    <w:rsid w:val="0018034E"/>
    <w:rsid w:val="00181B3D"/>
    <w:rsid w:val="001827F9"/>
    <w:rsid w:val="00182A12"/>
    <w:rsid w:val="00183775"/>
    <w:rsid w:val="0018437E"/>
    <w:rsid w:val="00184983"/>
    <w:rsid w:val="0018520D"/>
    <w:rsid w:val="0018547F"/>
    <w:rsid w:val="0018621C"/>
    <w:rsid w:val="00187047"/>
    <w:rsid w:val="001870A7"/>
    <w:rsid w:val="00187264"/>
    <w:rsid w:val="00187EFD"/>
    <w:rsid w:val="00191CFC"/>
    <w:rsid w:val="00192A23"/>
    <w:rsid w:val="00193386"/>
    <w:rsid w:val="00193742"/>
    <w:rsid w:val="00193A4F"/>
    <w:rsid w:val="00194CA9"/>
    <w:rsid w:val="0019542B"/>
    <w:rsid w:val="00196E3C"/>
    <w:rsid w:val="00197C97"/>
    <w:rsid w:val="001A05EB"/>
    <w:rsid w:val="001A07F2"/>
    <w:rsid w:val="001A0EE9"/>
    <w:rsid w:val="001A1962"/>
    <w:rsid w:val="001A2100"/>
    <w:rsid w:val="001A2437"/>
    <w:rsid w:val="001A3099"/>
    <w:rsid w:val="001A30E1"/>
    <w:rsid w:val="001A326A"/>
    <w:rsid w:val="001A437E"/>
    <w:rsid w:val="001A5585"/>
    <w:rsid w:val="001B0C18"/>
    <w:rsid w:val="001B117F"/>
    <w:rsid w:val="001B155F"/>
    <w:rsid w:val="001B2319"/>
    <w:rsid w:val="001B24EF"/>
    <w:rsid w:val="001B2D48"/>
    <w:rsid w:val="001B313B"/>
    <w:rsid w:val="001B3430"/>
    <w:rsid w:val="001B5871"/>
    <w:rsid w:val="001B5C46"/>
    <w:rsid w:val="001B66BE"/>
    <w:rsid w:val="001B6872"/>
    <w:rsid w:val="001B6F78"/>
    <w:rsid w:val="001B70EB"/>
    <w:rsid w:val="001B7784"/>
    <w:rsid w:val="001B7DB8"/>
    <w:rsid w:val="001C08A5"/>
    <w:rsid w:val="001C1499"/>
    <w:rsid w:val="001C1B9F"/>
    <w:rsid w:val="001C4524"/>
    <w:rsid w:val="001C56E3"/>
    <w:rsid w:val="001C6B00"/>
    <w:rsid w:val="001C6F9F"/>
    <w:rsid w:val="001C7383"/>
    <w:rsid w:val="001C749F"/>
    <w:rsid w:val="001C76ED"/>
    <w:rsid w:val="001C7D4A"/>
    <w:rsid w:val="001D0118"/>
    <w:rsid w:val="001D2C86"/>
    <w:rsid w:val="001D2F80"/>
    <w:rsid w:val="001D3A47"/>
    <w:rsid w:val="001D5139"/>
    <w:rsid w:val="001D5151"/>
    <w:rsid w:val="001D5258"/>
    <w:rsid w:val="001D6398"/>
    <w:rsid w:val="001D7DB4"/>
    <w:rsid w:val="001E009C"/>
    <w:rsid w:val="001E0674"/>
    <w:rsid w:val="001E1290"/>
    <w:rsid w:val="001E1CF1"/>
    <w:rsid w:val="001E1F97"/>
    <w:rsid w:val="001E45C6"/>
    <w:rsid w:val="001E460A"/>
    <w:rsid w:val="001E4A84"/>
    <w:rsid w:val="001E53E0"/>
    <w:rsid w:val="001E59A5"/>
    <w:rsid w:val="001E5AA8"/>
    <w:rsid w:val="001E6A24"/>
    <w:rsid w:val="001E7C28"/>
    <w:rsid w:val="001E7CE2"/>
    <w:rsid w:val="001F0B7D"/>
    <w:rsid w:val="001F1087"/>
    <w:rsid w:val="001F24DB"/>
    <w:rsid w:val="001F25FA"/>
    <w:rsid w:val="001F55A0"/>
    <w:rsid w:val="001F68F1"/>
    <w:rsid w:val="001F73C6"/>
    <w:rsid w:val="002027E5"/>
    <w:rsid w:val="002039FD"/>
    <w:rsid w:val="00205127"/>
    <w:rsid w:val="0020674F"/>
    <w:rsid w:val="00211057"/>
    <w:rsid w:val="00211B4C"/>
    <w:rsid w:val="00211FB6"/>
    <w:rsid w:val="00213985"/>
    <w:rsid w:val="00214127"/>
    <w:rsid w:val="002148CB"/>
    <w:rsid w:val="00214C9A"/>
    <w:rsid w:val="00214F99"/>
    <w:rsid w:val="00215C1E"/>
    <w:rsid w:val="002163CF"/>
    <w:rsid w:val="002165E3"/>
    <w:rsid w:val="0021681F"/>
    <w:rsid w:val="00217400"/>
    <w:rsid w:val="002174B8"/>
    <w:rsid w:val="00222779"/>
    <w:rsid w:val="00223004"/>
    <w:rsid w:val="00223D39"/>
    <w:rsid w:val="00225349"/>
    <w:rsid w:val="002315FF"/>
    <w:rsid w:val="00232686"/>
    <w:rsid w:val="00233739"/>
    <w:rsid w:val="002337FD"/>
    <w:rsid w:val="00233BDF"/>
    <w:rsid w:val="002347B5"/>
    <w:rsid w:val="002363C1"/>
    <w:rsid w:val="002376CC"/>
    <w:rsid w:val="00237825"/>
    <w:rsid w:val="00237EF4"/>
    <w:rsid w:val="00240101"/>
    <w:rsid w:val="00240B5C"/>
    <w:rsid w:val="00240E69"/>
    <w:rsid w:val="00241128"/>
    <w:rsid w:val="00243C8F"/>
    <w:rsid w:val="002458FC"/>
    <w:rsid w:val="00247A07"/>
    <w:rsid w:val="00247F82"/>
    <w:rsid w:val="0025068E"/>
    <w:rsid w:val="00250C26"/>
    <w:rsid w:val="00250DD4"/>
    <w:rsid w:val="00252AFF"/>
    <w:rsid w:val="00253173"/>
    <w:rsid w:val="002532CC"/>
    <w:rsid w:val="00255020"/>
    <w:rsid w:val="002557B2"/>
    <w:rsid w:val="002562C6"/>
    <w:rsid w:val="002568F9"/>
    <w:rsid w:val="002569B4"/>
    <w:rsid w:val="00256B3F"/>
    <w:rsid w:val="00257B84"/>
    <w:rsid w:val="0026025A"/>
    <w:rsid w:val="002611A3"/>
    <w:rsid w:val="00261FB8"/>
    <w:rsid w:val="00262789"/>
    <w:rsid w:val="002639CE"/>
    <w:rsid w:val="00264095"/>
    <w:rsid w:val="00264609"/>
    <w:rsid w:val="002648BA"/>
    <w:rsid w:val="002650AB"/>
    <w:rsid w:val="00265112"/>
    <w:rsid w:val="002652A1"/>
    <w:rsid w:val="00266DE5"/>
    <w:rsid w:val="002672FB"/>
    <w:rsid w:val="002674DA"/>
    <w:rsid w:val="00267C18"/>
    <w:rsid w:val="00267D18"/>
    <w:rsid w:val="002701D4"/>
    <w:rsid w:val="002716A9"/>
    <w:rsid w:val="00271798"/>
    <w:rsid w:val="00272854"/>
    <w:rsid w:val="00273EEE"/>
    <w:rsid w:val="00275319"/>
    <w:rsid w:val="00275379"/>
    <w:rsid w:val="00275BF5"/>
    <w:rsid w:val="0027637B"/>
    <w:rsid w:val="002764B9"/>
    <w:rsid w:val="00277099"/>
    <w:rsid w:val="00277787"/>
    <w:rsid w:val="00280167"/>
    <w:rsid w:val="002812E7"/>
    <w:rsid w:val="002825C1"/>
    <w:rsid w:val="00283022"/>
    <w:rsid w:val="00283C26"/>
    <w:rsid w:val="00283F33"/>
    <w:rsid w:val="002840BA"/>
    <w:rsid w:val="00284D0C"/>
    <w:rsid w:val="00285E7A"/>
    <w:rsid w:val="002902B2"/>
    <w:rsid w:val="00290BBF"/>
    <w:rsid w:val="00291BF4"/>
    <w:rsid w:val="0029233E"/>
    <w:rsid w:val="00293A8A"/>
    <w:rsid w:val="00293E1A"/>
    <w:rsid w:val="00295258"/>
    <w:rsid w:val="00295D7E"/>
    <w:rsid w:val="002966BA"/>
    <w:rsid w:val="002967BE"/>
    <w:rsid w:val="002A06E9"/>
    <w:rsid w:val="002A1ECD"/>
    <w:rsid w:val="002A2565"/>
    <w:rsid w:val="002A314A"/>
    <w:rsid w:val="002A61E1"/>
    <w:rsid w:val="002A724E"/>
    <w:rsid w:val="002B0BFE"/>
    <w:rsid w:val="002B138C"/>
    <w:rsid w:val="002B19E4"/>
    <w:rsid w:val="002B2341"/>
    <w:rsid w:val="002B261C"/>
    <w:rsid w:val="002B3EC4"/>
    <w:rsid w:val="002B5BB8"/>
    <w:rsid w:val="002B65A8"/>
    <w:rsid w:val="002B6BD8"/>
    <w:rsid w:val="002B6EDB"/>
    <w:rsid w:val="002B76F7"/>
    <w:rsid w:val="002B7F45"/>
    <w:rsid w:val="002C103F"/>
    <w:rsid w:val="002C1E98"/>
    <w:rsid w:val="002C25A8"/>
    <w:rsid w:val="002C3337"/>
    <w:rsid w:val="002C33F4"/>
    <w:rsid w:val="002C3A21"/>
    <w:rsid w:val="002C4E06"/>
    <w:rsid w:val="002C6CEB"/>
    <w:rsid w:val="002C6D13"/>
    <w:rsid w:val="002C6F4D"/>
    <w:rsid w:val="002C7D36"/>
    <w:rsid w:val="002D0352"/>
    <w:rsid w:val="002D283A"/>
    <w:rsid w:val="002D2A36"/>
    <w:rsid w:val="002D2C8B"/>
    <w:rsid w:val="002D3F15"/>
    <w:rsid w:val="002D45BA"/>
    <w:rsid w:val="002D5618"/>
    <w:rsid w:val="002D66B1"/>
    <w:rsid w:val="002D6788"/>
    <w:rsid w:val="002E0028"/>
    <w:rsid w:val="002E08A3"/>
    <w:rsid w:val="002E0EF0"/>
    <w:rsid w:val="002E18FD"/>
    <w:rsid w:val="002E34E3"/>
    <w:rsid w:val="002E3AC8"/>
    <w:rsid w:val="002E569C"/>
    <w:rsid w:val="002E5BC4"/>
    <w:rsid w:val="002E6BC8"/>
    <w:rsid w:val="002E7083"/>
    <w:rsid w:val="002F05F9"/>
    <w:rsid w:val="002F0E97"/>
    <w:rsid w:val="002F12D1"/>
    <w:rsid w:val="002F21F9"/>
    <w:rsid w:val="002F34A4"/>
    <w:rsid w:val="002F694D"/>
    <w:rsid w:val="002F6A87"/>
    <w:rsid w:val="002F6CA2"/>
    <w:rsid w:val="002F7C42"/>
    <w:rsid w:val="002F7E9B"/>
    <w:rsid w:val="002F7EF3"/>
    <w:rsid w:val="0030039C"/>
    <w:rsid w:val="0030096F"/>
    <w:rsid w:val="003012F8"/>
    <w:rsid w:val="00301619"/>
    <w:rsid w:val="003026E2"/>
    <w:rsid w:val="0030313C"/>
    <w:rsid w:val="00306035"/>
    <w:rsid w:val="00306AC8"/>
    <w:rsid w:val="00306BA3"/>
    <w:rsid w:val="003070BC"/>
    <w:rsid w:val="00307832"/>
    <w:rsid w:val="0031090C"/>
    <w:rsid w:val="00312E03"/>
    <w:rsid w:val="00313CDD"/>
    <w:rsid w:val="00313EF8"/>
    <w:rsid w:val="003140BA"/>
    <w:rsid w:val="00314C66"/>
    <w:rsid w:val="003152C9"/>
    <w:rsid w:val="003172E3"/>
    <w:rsid w:val="003176B6"/>
    <w:rsid w:val="003200BA"/>
    <w:rsid w:val="0032063F"/>
    <w:rsid w:val="0032078F"/>
    <w:rsid w:val="00320946"/>
    <w:rsid w:val="00320F0A"/>
    <w:rsid w:val="00323974"/>
    <w:rsid w:val="00324A40"/>
    <w:rsid w:val="00330948"/>
    <w:rsid w:val="00330C7E"/>
    <w:rsid w:val="00331B48"/>
    <w:rsid w:val="00332871"/>
    <w:rsid w:val="0033672E"/>
    <w:rsid w:val="003368DC"/>
    <w:rsid w:val="003369F1"/>
    <w:rsid w:val="00340960"/>
    <w:rsid w:val="00340E6B"/>
    <w:rsid w:val="003428DD"/>
    <w:rsid w:val="00342F33"/>
    <w:rsid w:val="00342FD9"/>
    <w:rsid w:val="00343A5E"/>
    <w:rsid w:val="00345F40"/>
    <w:rsid w:val="00346917"/>
    <w:rsid w:val="00347335"/>
    <w:rsid w:val="00350F49"/>
    <w:rsid w:val="00351B13"/>
    <w:rsid w:val="00351EFE"/>
    <w:rsid w:val="003527B9"/>
    <w:rsid w:val="00353002"/>
    <w:rsid w:val="00353759"/>
    <w:rsid w:val="00353E89"/>
    <w:rsid w:val="0035418B"/>
    <w:rsid w:val="00355A5D"/>
    <w:rsid w:val="0035718C"/>
    <w:rsid w:val="0035766C"/>
    <w:rsid w:val="00357D23"/>
    <w:rsid w:val="003607AB"/>
    <w:rsid w:val="003615C2"/>
    <w:rsid w:val="00362172"/>
    <w:rsid w:val="00362285"/>
    <w:rsid w:val="00363978"/>
    <w:rsid w:val="00363B07"/>
    <w:rsid w:val="00364108"/>
    <w:rsid w:val="00366C04"/>
    <w:rsid w:val="00367053"/>
    <w:rsid w:val="0036748D"/>
    <w:rsid w:val="0037010E"/>
    <w:rsid w:val="00370B51"/>
    <w:rsid w:val="003712C0"/>
    <w:rsid w:val="0037177A"/>
    <w:rsid w:val="00371DC1"/>
    <w:rsid w:val="00374537"/>
    <w:rsid w:val="0037474A"/>
    <w:rsid w:val="00374903"/>
    <w:rsid w:val="00374AF0"/>
    <w:rsid w:val="003753C4"/>
    <w:rsid w:val="003754CD"/>
    <w:rsid w:val="0037579A"/>
    <w:rsid w:val="00376DB6"/>
    <w:rsid w:val="003772D2"/>
    <w:rsid w:val="003774D8"/>
    <w:rsid w:val="0038087A"/>
    <w:rsid w:val="00381205"/>
    <w:rsid w:val="00381269"/>
    <w:rsid w:val="00381DE2"/>
    <w:rsid w:val="003824EE"/>
    <w:rsid w:val="003842D6"/>
    <w:rsid w:val="00386051"/>
    <w:rsid w:val="0038620D"/>
    <w:rsid w:val="00386E6C"/>
    <w:rsid w:val="00393083"/>
    <w:rsid w:val="003934BE"/>
    <w:rsid w:val="00393AEC"/>
    <w:rsid w:val="00393B63"/>
    <w:rsid w:val="003A04C7"/>
    <w:rsid w:val="003A0732"/>
    <w:rsid w:val="003A0972"/>
    <w:rsid w:val="003A0A1A"/>
    <w:rsid w:val="003A0BF3"/>
    <w:rsid w:val="003A0F12"/>
    <w:rsid w:val="003A2A5E"/>
    <w:rsid w:val="003A2D3C"/>
    <w:rsid w:val="003A5AC5"/>
    <w:rsid w:val="003A5E3C"/>
    <w:rsid w:val="003A77F0"/>
    <w:rsid w:val="003B10AD"/>
    <w:rsid w:val="003B111E"/>
    <w:rsid w:val="003B2B93"/>
    <w:rsid w:val="003B45B6"/>
    <w:rsid w:val="003B4605"/>
    <w:rsid w:val="003B4B4E"/>
    <w:rsid w:val="003B65C4"/>
    <w:rsid w:val="003C0004"/>
    <w:rsid w:val="003C1BBA"/>
    <w:rsid w:val="003C2CAC"/>
    <w:rsid w:val="003C3610"/>
    <w:rsid w:val="003C37D4"/>
    <w:rsid w:val="003C39B4"/>
    <w:rsid w:val="003C44CA"/>
    <w:rsid w:val="003C510D"/>
    <w:rsid w:val="003C682E"/>
    <w:rsid w:val="003C6CA7"/>
    <w:rsid w:val="003D0AB2"/>
    <w:rsid w:val="003D0D1D"/>
    <w:rsid w:val="003D1226"/>
    <w:rsid w:val="003D1F12"/>
    <w:rsid w:val="003D3470"/>
    <w:rsid w:val="003D429F"/>
    <w:rsid w:val="003D497E"/>
    <w:rsid w:val="003D4C25"/>
    <w:rsid w:val="003D71D9"/>
    <w:rsid w:val="003E3D74"/>
    <w:rsid w:val="003E66D1"/>
    <w:rsid w:val="003E703A"/>
    <w:rsid w:val="003E7DA9"/>
    <w:rsid w:val="003F029D"/>
    <w:rsid w:val="003F07B1"/>
    <w:rsid w:val="003F132A"/>
    <w:rsid w:val="003F2B70"/>
    <w:rsid w:val="003F3865"/>
    <w:rsid w:val="003F3890"/>
    <w:rsid w:val="003F3CC7"/>
    <w:rsid w:val="003F4F13"/>
    <w:rsid w:val="003F699E"/>
    <w:rsid w:val="003F6E19"/>
    <w:rsid w:val="00403817"/>
    <w:rsid w:val="00404EEB"/>
    <w:rsid w:val="004061DC"/>
    <w:rsid w:val="00406BA0"/>
    <w:rsid w:val="00406F52"/>
    <w:rsid w:val="00406FE7"/>
    <w:rsid w:val="0040758D"/>
    <w:rsid w:val="0041041C"/>
    <w:rsid w:val="00412812"/>
    <w:rsid w:val="00413746"/>
    <w:rsid w:val="0041418B"/>
    <w:rsid w:val="0041472B"/>
    <w:rsid w:val="00414B7A"/>
    <w:rsid w:val="00414D4C"/>
    <w:rsid w:val="00414FE8"/>
    <w:rsid w:val="00415BD4"/>
    <w:rsid w:val="00415EBD"/>
    <w:rsid w:val="00417D1E"/>
    <w:rsid w:val="0042025B"/>
    <w:rsid w:val="004252E3"/>
    <w:rsid w:val="004253C6"/>
    <w:rsid w:val="00425C4A"/>
    <w:rsid w:val="004262B0"/>
    <w:rsid w:val="004269E8"/>
    <w:rsid w:val="00426E1C"/>
    <w:rsid w:val="004272DF"/>
    <w:rsid w:val="004308C3"/>
    <w:rsid w:val="00430D7E"/>
    <w:rsid w:val="004329BF"/>
    <w:rsid w:val="004329D6"/>
    <w:rsid w:val="0043391B"/>
    <w:rsid w:val="0043671D"/>
    <w:rsid w:val="00436B5A"/>
    <w:rsid w:val="00436E6E"/>
    <w:rsid w:val="00437995"/>
    <w:rsid w:val="004400C2"/>
    <w:rsid w:val="0044115B"/>
    <w:rsid w:val="0044173E"/>
    <w:rsid w:val="00441C1B"/>
    <w:rsid w:val="00442603"/>
    <w:rsid w:val="00442E22"/>
    <w:rsid w:val="00442FF5"/>
    <w:rsid w:val="0044309E"/>
    <w:rsid w:val="0044393D"/>
    <w:rsid w:val="0044489C"/>
    <w:rsid w:val="00444D71"/>
    <w:rsid w:val="0044625B"/>
    <w:rsid w:val="00446429"/>
    <w:rsid w:val="00446FC0"/>
    <w:rsid w:val="00447064"/>
    <w:rsid w:val="00447A8B"/>
    <w:rsid w:val="00447FB8"/>
    <w:rsid w:val="0045072E"/>
    <w:rsid w:val="00450B70"/>
    <w:rsid w:val="00450B84"/>
    <w:rsid w:val="00450FD4"/>
    <w:rsid w:val="0045116D"/>
    <w:rsid w:val="004513EE"/>
    <w:rsid w:val="00452714"/>
    <w:rsid w:val="00453FBA"/>
    <w:rsid w:val="0045672D"/>
    <w:rsid w:val="00457D0A"/>
    <w:rsid w:val="00460C8A"/>
    <w:rsid w:val="0046165B"/>
    <w:rsid w:val="00462DE5"/>
    <w:rsid w:val="00462E34"/>
    <w:rsid w:val="00463AFA"/>
    <w:rsid w:val="0046454A"/>
    <w:rsid w:val="00464FF0"/>
    <w:rsid w:val="004660D4"/>
    <w:rsid w:val="004661CC"/>
    <w:rsid w:val="004673EA"/>
    <w:rsid w:val="00467AB3"/>
    <w:rsid w:val="00470A47"/>
    <w:rsid w:val="00473438"/>
    <w:rsid w:val="00473E52"/>
    <w:rsid w:val="00474077"/>
    <w:rsid w:val="00474243"/>
    <w:rsid w:val="004743B0"/>
    <w:rsid w:val="004759D9"/>
    <w:rsid w:val="00476310"/>
    <w:rsid w:val="00480955"/>
    <w:rsid w:val="00481058"/>
    <w:rsid w:val="0048114B"/>
    <w:rsid w:val="0048146E"/>
    <w:rsid w:val="0048184D"/>
    <w:rsid w:val="004828B0"/>
    <w:rsid w:val="00483305"/>
    <w:rsid w:val="004854C1"/>
    <w:rsid w:val="00485B50"/>
    <w:rsid w:val="00486407"/>
    <w:rsid w:val="00486B0C"/>
    <w:rsid w:val="00487372"/>
    <w:rsid w:val="0049019C"/>
    <w:rsid w:val="00491F39"/>
    <w:rsid w:val="004920C1"/>
    <w:rsid w:val="004923AB"/>
    <w:rsid w:val="00492807"/>
    <w:rsid w:val="00492AEF"/>
    <w:rsid w:val="00493C42"/>
    <w:rsid w:val="00494B2E"/>
    <w:rsid w:val="004958BF"/>
    <w:rsid w:val="00495DF8"/>
    <w:rsid w:val="00497065"/>
    <w:rsid w:val="004A011A"/>
    <w:rsid w:val="004A0292"/>
    <w:rsid w:val="004A040A"/>
    <w:rsid w:val="004A0EB8"/>
    <w:rsid w:val="004A1497"/>
    <w:rsid w:val="004A1C3C"/>
    <w:rsid w:val="004A1CA6"/>
    <w:rsid w:val="004A28FE"/>
    <w:rsid w:val="004A2D92"/>
    <w:rsid w:val="004A44F3"/>
    <w:rsid w:val="004A4621"/>
    <w:rsid w:val="004A4AD1"/>
    <w:rsid w:val="004A5E70"/>
    <w:rsid w:val="004A606E"/>
    <w:rsid w:val="004A61B4"/>
    <w:rsid w:val="004A6459"/>
    <w:rsid w:val="004A6E4A"/>
    <w:rsid w:val="004B03E6"/>
    <w:rsid w:val="004B0FFF"/>
    <w:rsid w:val="004B1122"/>
    <w:rsid w:val="004B178B"/>
    <w:rsid w:val="004B2A67"/>
    <w:rsid w:val="004B2ED0"/>
    <w:rsid w:val="004B359C"/>
    <w:rsid w:val="004B3C20"/>
    <w:rsid w:val="004B4B2F"/>
    <w:rsid w:val="004B4D5C"/>
    <w:rsid w:val="004B4FFF"/>
    <w:rsid w:val="004B620F"/>
    <w:rsid w:val="004B6B15"/>
    <w:rsid w:val="004B7DB3"/>
    <w:rsid w:val="004C3119"/>
    <w:rsid w:val="004C35EE"/>
    <w:rsid w:val="004C4193"/>
    <w:rsid w:val="004C5688"/>
    <w:rsid w:val="004C7E3A"/>
    <w:rsid w:val="004D05F0"/>
    <w:rsid w:val="004D127B"/>
    <w:rsid w:val="004D2B62"/>
    <w:rsid w:val="004D4433"/>
    <w:rsid w:val="004D56E8"/>
    <w:rsid w:val="004D59C2"/>
    <w:rsid w:val="004D6480"/>
    <w:rsid w:val="004D704F"/>
    <w:rsid w:val="004D750F"/>
    <w:rsid w:val="004D7B74"/>
    <w:rsid w:val="004D7FF9"/>
    <w:rsid w:val="004E0D2A"/>
    <w:rsid w:val="004E47B8"/>
    <w:rsid w:val="004E644F"/>
    <w:rsid w:val="004E64E4"/>
    <w:rsid w:val="004E6BD8"/>
    <w:rsid w:val="004E740A"/>
    <w:rsid w:val="004E7629"/>
    <w:rsid w:val="004F0916"/>
    <w:rsid w:val="004F1F17"/>
    <w:rsid w:val="004F35CD"/>
    <w:rsid w:val="004F420F"/>
    <w:rsid w:val="004F489A"/>
    <w:rsid w:val="004F548D"/>
    <w:rsid w:val="004F5AF1"/>
    <w:rsid w:val="004F5F66"/>
    <w:rsid w:val="004F6C6F"/>
    <w:rsid w:val="004F6CCD"/>
    <w:rsid w:val="005007DF"/>
    <w:rsid w:val="00501050"/>
    <w:rsid w:val="00501A47"/>
    <w:rsid w:val="00501A60"/>
    <w:rsid w:val="00503383"/>
    <w:rsid w:val="00504766"/>
    <w:rsid w:val="00505084"/>
    <w:rsid w:val="00505797"/>
    <w:rsid w:val="005061FD"/>
    <w:rsid w:val="00507443"/>
    <w:rsid w:val="00507460"/>
    <w:rsid w:val="00510385"/>
    <w:rsid w:val="005138FC"/>
    <w:rsid w:val="00514609"/>
    <w:rsid w:val="0051462F"/>
    <w:rsid w:val="00514B3D"/>
    <w:rsid w:val="00515640"/>
    <w:rsid w:val="00515968"/>
    <w:rsid w:val="00517853"/>
    <w:rsid w:val="005205B3"/>
    <w:rsid w:val="005230CA"/>
    <w:rsid w:val="005238B9"/>
    <w:rsid w:val="005239EB"/>
    <w:rsid w:val="00524BC9"/>
    <w:rsid w:val="00524ED8"/>
    <w:rsid w:val="005256A4"/>
    <w:rsid w:val="00525A31"/>
    <w:rsid w:val="005260A6"/>
    <w:rsid w:val="00526916"/>
    <w:rsid w:val="005273B4"/>
    <w:rsid w:val="00527C83"/>
    <w:rsid w:val="005313F5"/>
    <w:rsid w:val="0053296F"/>
    <w:rsid w:val="00541C1B"/>
    <w:rsid w:val="005425BE"/>
    <w:rsid w:val="00542C4C"/>
    <w:rsid w:val="005435AB"/>
    <w:rsid w:val="005439B4"/>
    <w:rsid w:val="00543ECA"/>
    <w:rsid w:val="0054547E"/>
    <w:rsid w:val="00545A2C"/>
    <w:rsid w:val="00545E2E"/>
    <w:rsid w:val="00546A7C"/>
    <w:rsid w:val="0054746F"/>
    <w:rsid w:val="0055181C"/>
    <w:rsid w:val="00551DC9"/>
    <w:rsid w:val="0055228C"/>
    <w:rsid w:val="00552F35"/>
    <w:rsid w:val="005530C6"/>
    <w:rsid w:val="00553AAE"/>
    <w:rsid w:val="005564F3"/>
    <w:rsid w:val="00560171"/>
    <w:rsid w:val="005628EF"/>
    <w:rsid w:val="00565897"/>
    <w:rsid w:val="00565DD3"/>
    <w:rsid w:val="00570A8C"/>
    <w:rsid w:val="005724F0"/>
    <w:rsid w:val="00572545"/>
    <w:rsid w:val="0057278A"/>
    <w:rsid w:val="00572A25"/>
    <w:rsid w:val="005731B5"/>
    <w:rsid w:val="00573740"/>
    <w:rsid w:val="00573DCA"/>
    <w:rsid w:val="0057676D"/>
    <w:rsid w:val="00576EBC"/>
    <w:rsid w:val="005809E0"/>
    <w:rsid w:val="00581823"/>
    <w:rsid w:val="00581F0C"/>
    <w:rsid w:val="005826C0"/>
    <w:rsid w:val="005836DA"/>
    <w:rsid w:val="0058409C"/>
    <w:rsid w:val="00584BDB"/>
    <w:rsid w:val="005859C5"/>
    <w:rsid w:val="005865F3"/>
    <w:rsid w:val="00586777"/>
    <w:rsid w:val="00587327"/>
    <w:rsid w:val="00587410"/>
    <w:rsid w:val="00587E6E"/>
    <w:rsid w:val="00590DFF"/>
    <w:rsid w:val="0059103D"/>
    <w:rsid w:val="005918E7"/>
    <w:rsid w:val="00591B59"/>
    <w:rsid w:val="00592445"/>
    <w:rsid w:val="00592BD5"/>
    <w:rsid w:val="00592E5B"/>
    <w:rsid w:val="005958BB"/>
    <w:rsid w:val="00596984"/>
    <w:rsid w:val="00597124"/>
    <w:rsid w:val="005975D6"/>
    <w:rsid w:val="005976D4"/>
    <w:rsid w:val="005A1A40"/>
    <w:rsid w:val="005A2CFB"/>
    <w:rsid w:val="005A2D08"/>
    <w:rsid w:val="005A402C"/>
    <w:rsid w:val="005A4E8D"/>
    <w:rsid w:val="005A5126"/>
    <w:rsid w:val="005A63B2"/>
    <w:rsid w:val="005A7375"/>
    <w:rsid w:val="005B4B2C"/>
    <w:rsid w:val="005B5C54"/>
    <w:rsid w:val="005B60B5"/>
    <w:rsid w:val="005C0D5E"/>
    <w:rsid w:val="005C14B9"/>
    <w:rsid w:val="005C1CF7"/>
    <w:rsid w:val="005C2F9B"/>
    <w:rsid w:val="005C35BB"/>
    <w:rsid w:val="005C375E"/>
    <w:rsid w:val="005C38DE"/>
    <w:rsid w:val="005C472D"/>
    <w:rsid w:val="005C588F"/>
    <w:rsid w:val="005C64E8"/>
    <w:rsid w:val="005C7CE3"/>
    <w:rsid w:val="005D08DA"/>
    <w:rsid w:val="005D0A52"/>
    <w:rsid w:val="005D2B36"/>
    <w:rsid w:val="005D39E2"/>
    <w:rsid w:val="005D4A62"/>
    <w:rsid w:val="005D5073"/>
    <w:rsid w:val="005D5932"/>
    <w:rsid w:val="005D6212"/>
    <w:rsid w:val="005D630D"/>
    <w:rsid w:val="005E01CE"/>
    <w:rsid w:val="005E0913"/>
    <w:rsid w:val="005E0BB1"/>
    <w:rsid w:val="005E114C"/>
    <w:rsid w:val="005E1488"/>
    <w:rsid w:val="005E1BB0"/>
    <w:rsid w:val="005E2AC5"/>
    <w:rsid w:val="005E2B5C"/>
    <w:rsid w:val="005E2CE3"/>
    <w:rsid w:val="005E37F7"/>
    <w:rsid w:val="005E38B5"/>
    <w:rsid w:val="005E3CCD"/>
    <w:rsid w:val="005E4E8C"/>
    <w:rsid w:val="005E5258"/>
    <w:rsid w:val="005F14EC"/>
    <w:rsid w:val="005F1DB7"/>
    <w:rsid w:val="005F3659"/>
    <w:rsid w:val="005F3806"/>
    <w:rsid w:val="005F5373"/>
    <w:rsid w:val="005F5419"/>
    <w:rsid w:val="005F70BA"/>
    <w:rsid w:val="006000D2"/>
    <w:rsid w:val="00600CA5"/>
    <w:rsid w:val="00600E10"/>
    <w:rsid w:val="00600FB7"/>
    <w:rsid w:val="00601508"/>
    <w:rsid w:val="006021E6"/>
    <w:rsid w:val="00603F73"/>
    <w:rsid w:val="006047C0"/>
    <w:rsid w:val="00604F1B"/>
    <w:rsid w:val="00606A5E"/>
    <w:rsid w:val="00606DED"/>
    <w:rsid w:val="00606E9E"/>
    <w:rsid w:val="00607DA0"/>
    <w:rsid w:val="00611A62"/>
    <w:rsid w:val="00613536"/>
    <w:rsid w:val="00613CAE"/>
    <w:rsid w:val="00614417"/>
    <w:rsid w:val="0061499D"/>
    <w:rsid w:val="0061565F"/>
    <w:rsid w:val="00615E04"/>
    <w:rsid w:val="00615F59"/>
    <w:rsid w:val="00615F99"/>
    <w:rsid w:val="0061697F"/>
    <w:rsid w:val="00617066"/>
    <w:rsid w:val="00617F59"/>
    <w:rsid w:val="006204E3"/>
    <w:rsid w:val="00621A04"/>
    <w:rsid w:val="00622352"/>
    <w:rsid w:val="006232BC"/>
    <w:rsid w:val="00623B46"/>
    <w:rsid w:val="006241D8"/>
    <w:rsid w:val="00625284"/>
    <w:rsid w:val="006257D8"/>
    <w:rsid w:val="00626236"/>
    <w:rsid w:val="0062647D"/>
    <w:rsid w:val="00626787"/>
    <w:rsid w:val="00626A86"/>
    <w:rsid w:val="00627CDC"/>
    <w:rsid w:val="00630708"/>
    <w:rsid w:val="00630F7F"/>
    <w:rsid w:val="006315B0"/>
    <w:rsid w:val="00631738"/>
    <w:rsid w:val="006338CF"/>
    <w:rsid w:val="006343B3"/>
    <w:rsid w:val="00634DAB"/>
    <w:rsid w:val="00637A04"/>
    <w:rsid w:val="00637C6F"/>
    <w:rsid w:val="006403D2"/>
    <w:rsid w:val="00641229"/>
    <w:rsid w:val="006415C6"/>
    <w:rsid w:val="006424FA"/>
    <w:rsid w:val="0064262F"/>
    <w:rsid w:val="0064268C"/>
    <w:rsid w:val="0064294A"/>
    <w:rsid w:val="00644069"/>
    <w:rsid w:val="006445D3"/>
    <w:rsid w:val="00644FC4"/>
    <w:rsid w:val="0064500F"/>
    <w:rsid w:val="00645224"/>
    <w:rsid w:val="006466CC"/>
    <w:rsid w:val="006466E8"/>
    <w:rsid w:val="0064677F"/>
    <w:rsid w:val="00646FC5"/>
    <w:rsid w:val="0064708C"/>
    <w:rsid w:val="00647C46"/>
    <w:rsid w:val="006502CA"/>
    <w:rsid w:val="006512F0"/>
    <w:rsid w:val="00651739"/>
    <w:rsid w:val="00654B83"/>
    <w:rsid w:val="006554B2"/>
    <w:rsid w:val="00657089"/>
    <w:rsid w:val="006574A2"/>
    <w:rsid w:val="00657DD8"/>
    <w:rsid w:val="00661507"/>
    <w:rsid w:val="00661887"/>
    <w:rsid w:val="006622B8"/>
    <w:rsid w:val="0066251A"/>
    <w:rsid w:val="00663918"/>
    <w:rsid w:val="00665314"/>
    <w:rsid w:val="00665FC8"/>
    <w:rsid w:val="006673E8"/>
    <w:rsid w:val="0066749B"/>
    <w:rsid w:val="00667EB8"/>
    <w:rsid w:val="006700DB"/>
    <w:rsid w:val="00670F3E"/>
    <w:rsid w:val="00671386"/>
    <w:rsid w:val="00671CFD"/>
    <w:rsid w:val="006732C5"/>
    <w:rsid w:val="00674822"/>
    <w:rsid w:val="00674D26"/>
    <w:rsid w:val="006761CC"/>
    <w:rsid w:val="00676840"/>
    <w:rsid w:val="006768B7"/>
    <w:rsid w:val="00676E08"/>
    <w:rsid w:val="00677244"/>
    <w:rsid w:val="006772DB"/>
    <w:rsid w:val="006772F7"/>
    <w:rsid w:val="006779DB"/>
    <w:rsid w:val="00677F60"/>
    <w:rsid w:val="0068022A"/>
    <w:rsid w:val="006803BD"/>
    <w:rsid w:val="00680B37"/>
    <w:rsid w:val="00680C08"/>
    <w:rsid w:val="006846AB"/>
    <w:rsid w:val="00684FF7"/>
    <w:rsid w:val="00686171"/>
    <w:rsid w:val="006866B1"/>
    <w:rsid w:val="0068710A"/>
    <w:rsid w:val="006878C5"/>
    <w:rsid w:val="00690CA8"/>
    <w:rsid w:val="00692C91"/>
    <w:rsid w:val="006937E4"/>
    <w:rsid w:val="00694433"/>
    <w:rsid w:val="00696861"/>
    <w:rsid w:val="006970CE"/>
    <w:rsid w:val="006A0590"/>
    <w:rsid w:val="006A1EB1"/>
    <w:rsid w:val="006A386C"/>
    <w:rsid w:val="006A39F8"/>
    <w:rsid w:val="006A49A8"/>
    <w:rsid w:val="006A5665"/>
    <w:rsid w:val="006A6394"/>
    <w:rsid w:val="006A75D2"/>
    <w:rsid w:val="006A75F5"/>
    <w:rsid w:val="006B0358"/>
    <w:rsid w:val="006B0E77"/>
    <w:rsid w:val="006B29BB"/>
    <w:rsid w:val="006B47D2"/>
    <w:rsid w:val="006B4869"/>
    <w:rsid w:val="006B669A"/>
    <w:rsid w:val="006B7AA7"/>
    <w:rsid w:val="006C043C"/>
    <w:rsid w:val="006C1952"/>
    <w:rsid w:val="006C21C2"/>
    <w:rsid w:val="006C4502"/>
    <w:rsid w:val="006C4E5A"/>
    <w:rsid w:val="006C4F47"/>
    <w:rsid w:val="006C50AF"/>
    <w:rsid w:val="006C6E33"/>
    <w:rsid w:val="006C77C4"/>
    <w:rsid w:val="006C7DF1"/>
    <w:rsid w:val="006D08F5"/>
    <w:rsid w:val="006D0DAE"/>
    <w:rsid w:val="006D0F4E"/>
    <w:rsid w:val="006D15B1"/>
    <w:rsid w:val="006D2535"/>
    <w:rsid w:val="006D446B"/>
    <w:rsid w:val="006D565B"/>
    <w:rsid w:val="006D5AD3"/>
    <w:rsid w:val="006D6410"/>
    <w:rsid w:val="006D7124"/>
    <w:rsid w:val="006D7927"/>
    <w:rsid w:val="006E2764"/>
    <w:rsid w:val="006E359C"/>
    <w:rsid w:val="006E49E7"/>
    <w:rsid w:val="006E5090"/>
    <w:rsid w:val="006E55B4"/>
    <w:rsid w:val="006E5669"/>
    <w:rsid w:val="006E5BD0"/>
    <w:rsid w:val="006E64B1"/>
    <w:rsid w:val="006E6C41"/>
    <w:rsid w:val="006E6FE0"/>
    <w:rsid w:val="006F0DA2"/>
    <w:rsid w:val="006F1855"/>
    <w:rsid w:val="006F2C66"/>
    <w:rsid w:val="006F3F3A"/>
    <w:rsid w:val="006F4A7D"/>
    <w:rsid w:val="006F4EED"/>
    <w:rsid w:val="006F5220"/>
    <w:rsid w:val="006F5397"/>
    <w:rsid w:val="006F5C1E"/>
    <w:rsid w:val="006F6B71"/>
    <w:rsid w:val="006F711B"/>
    <w:rsid w:val="00701927"/>
    <w:rsid w:val="007022D7"/>
    <w:rsid w:val="0070328A"/>
    <w:rsid w:val="00703998"/>
    <w:rsid w:val="00704147"/>
    <w:rsid w:val="00706251"/>
    <w:rsid w:val="007105B1"/>
    <w:rsid w:val="007107B7"/>
    <w:rsid w:val="007121ED"/>
    <w:rsid w:val="00712A2D"/>
    <w:rsid w:val="00713E83"/>
    <w:rsid w:val="007147B6"/>
    <w:rsid w:val="00715C63"/>
    <w:rsid w:val="007168F2"/>
    <w:rsid w:val="00722094"/>
    <w:rsid w:val="00723A02"/>
    <w:rsid w:val="00724A01"/>
    <w:rsid w:val="00725244"/>
    <w:rsid w:val="00725485"/>
    <w:rsid w:val="007264A8"/>
    <w:rsid w:val="00726780"/>
    <w:rsid w:val="007279A1"/>
    <w:rsid w:val="00730FB9"/>
    <w:rsid w:val="00731122"/>
    <w:rsid w:val="00731361"/>
    <w:rsid w:val="0073166B"/>
    <w:rsid w:val="00733667"/>
    <w:rsid w:val="00734BD1"/>
    <w:rsid w:val="00736265"/>
    <w:rsid w:val="0073669D"/>
    <w:rsid w:val="00736A5E"/>
    <w:rsid w:val="00737141"/>
    <w:rsid w:val="007373D1"/>
    <w:rsid w:val="00741D51"/>
    <w:rsid w:val="00742841"/>
    <w:rsid w:val="00742E83"/>
    <w:rsid w:val="00743CAC"/>
    <w:rsid w:val="007440BE"/>
    <w:rsid w:val="0074629F"/>
    <w:rsid w:val="00746FCF"/>
    <w:rsid w:val="00747B96"/>
    <w:rsid w:val="007520D2"/>
    <w:rsid w:val="007541AC"/>
    <w:rsid w:val="00755587"/>
    <w:rsid w:val="007605C1"/>
    <w:rsid w:val="007606CC"/>
    <w:rsid w:val="00760CAB"/>
    <w:rsid w:val="007617E0"/>
    <w:rsid w:val="00761CB3"/>
    <w:rsid w:val="007623AA"/>
    <w:rsid w:val="00762FA1"/>
    <w:rsid w:val="0076496B"/>
    <w:rsid w:val="0076557C"/>
    <w:rsid w:val="00765752"/>
    <w:rsid w:val="00766D02"/>
    <w:rsid w:val="0077032F"/>
    <w:rsid w:val="00774DDD"/>
    <w:rsid w:val="00775D35"/>
    <w:rsid w:val="00777314"/>
    <w:rsid w:val="00777EC7"/>
    <w:rsid w:val="00780289"/>
    <w:rsid w:val="007802B1"/>
    <w:rsid w:val="00780997"/>
    <w:rsid w:val="007817DC"/>
    <w:rsid w:val="00782D72"/>
    <w:rsid w:val="0078379E"/>
    <w:rsid w:val="0078388C"/>
    <w:rsid w:val="00784338"/>
    <w:rsid w:val="00784648"/>
    <w:rsid w:val="00784909"/>
    <w:rsid w:val="0078562C"/>
    <w:rsid w:val="00785A1A"/>
    <w:rsid w:val="00785DF0"/>
    <w:rsid w:val="00786173"/>
    <w:rsid w:val="00787344"/>
    <w:rsid w:val="007873A8"/>
    <w:rsid w:val="007876B7"/>
    <w:rsid w:val="007902FC"/>
    <w:rsid w:val="00791BAB"/>
    <w:rsid w:val="00791EE2"/>
    <w:rsid w:val="00792216"/>
    <w:rsid w:val="00792A6D"/>
    <w:rsid w:val="00794088"/>
    <w:rsid w:val="0079439E"/>
    <w:rsid w:val="00794546"/>
    <w:rsid w:val="00795178"/>
    <w:rsid w:val="00796567"/>
    <w:rsid w:val="007968F9"/>
    <w:rsid w:val="007A1369"/>
    <w:rsid w:val="007A2793"/>
    <w:rsid w:val="007A383E"/>
    <w:rsid w:val="007A4186"/>
    <w:rsid w:val="007A59C9"/>
    <w:rsid w:val="007A63CF"/>
    <w:rsid w:val="007A6F4A"/>
    <w:rsid w:val="007A7648"/>
    <w:rsid w:val="007A76D3"/>
    <w:rsid w:val="007A7BF9"/>
    <w:rsid w:val="007A7CC6"/>
    <w:rsid w:val="007B02D4"/>
    <w:rsid w:val="007B0C01"/>
    <w:rsid w:val="007B1A6F"/>
    <w:rsid w:val="007B2961"/>
    <w:rsid w:val="007B400E"/>
    <w:rsid w:val="007B42FA"/>
    <w:rsid w:val="007B48AF"/>
    <w:rsid w:val="007B6324"/>
    <w:rsid w:val="007B7DE6"/>
    <w:rsid w:val="007C142A"/>
    <w:rsid w:val="007C2432"/>
    <w:rsid w:val="007C248B"/>
    <w:rsid w:val="007C2F33"/>
    <w:rsid w:val="007C32E7"/>
    <w:rsid w:val="007C3BB3"/>
    <w:rsid w:val="007C4B3D"/>
    <w:rsid w:val="007C5290"/>
    <w:rsid w:val="007C6BC1"/>
    <w:rsid w:val="007C7E7A"/>
    <w:rsid w:val="007D0485"/>
    <w:rsid w:val="007D0746"/>
    <w:rsid w:val="007D0ACE"/>
    <w:rsid w:val="007D138A"/>
    <w:rsid w:val="007D16B4"/>
    <w:rsid w:val="007D1AC7"/>
    <w:rsid w:val="007D286C"/>
    <w:rsid w:val="007D479E"/>
    <w:rsid w:val="007D4DEC"/>
    <w:rsid w:val="007D6922"/>
    <w:rsid w:val="007D78F9"/>
    <w:rsid w:val="007D7DD3"/>
    <w:rsid w:val="007E002E"/>
    <w:rsid w:val="007E04B2"/>
    <w:rsid w:val="007E2070"/>
    <w:rsid w:val="007E263D"/>
    <w:rsid w:val="007E2A06"/>
    <w:rsid w:val="007E2F40"/>
    <w:rsid w:val="007E40B8"/>
    <w:rsid w:val="007E4B5F"/>
    <w:rsid w:val="007E4E3A"/>
    <w:rsid w:val="007E5313"/>
    <w:rsid w:val="007E6D0F"/>
    <w:rsid w:val="007E6FE6"/>
    <w:rsid w:val="007E7F3A"/>
    <w:rsid w:val="007F10A4"/>
    <w:rsid w:val="007F110B"/>
    <w:rsid w:val="007F143E"/>
    <w:rsid w:val="007F2B8C"/>
    <w:rsid w:val="007F2DB4"/>
    <w:rsid w:val="007F30AB"/>
    <w:rsid w:val="007F7B8D"/>
    <w:rsid w:val="007F7D6F"/>
    <w:rsid w:val="008008ED"/>
    <w:rsid w:val="00800F9B"/>
    <w:rsid w:val="00801F5E"/>
    <w:rsid w:val="00802C10"/>
    <w:rsid w:val="00802DCF"/>
    <w:rsid w:val="00805464"/>
    <w:rsid w:val="00805E99"/>
    <w:rsid w:val="00806D9A"/>
    <w:rsid w:val="00810BE3"/>
    <w:rsid w:val="008116EF"/>
    <w:rsid w:val="00814BDE"/>
    <w:rsid w:val="00814E12"/>
    <w:rsid w:val="00814EB8"/>
    <w:rsid w:val="008155A8"/>
    <w:rsid w:val="00815E7F"/>
    <w:rsid w:val="008162C4"/>
    <w:rsid w:val="00816D3E"/>
    <w:rsid w:val="00817411"/>
    <w:rsid w:val="00822317"/>
    <w:rsid w:val="008228F5"/>
    <w:rsid w:val="00822EC1"/>
    <w:rsid w:val="00823543"/>
    <w:rsid w:val="00823FF3"/>
    <w:rsid w:val="00825280"/>
    <w:rsid w:val="00825706"/>
    <w:rsid w:val="008307D5"/>
    <w:rsid w:val="00830A30"/>
    <w:rsid w:val="00831967"/>
    <w:rsid w:val="00835C5B"/>
    <w:rsid w:val="0083616D"/>
    <w:rsid w:val="0083665B"/>
    <w:rsid w:val="00837102"/>
    <w:rsid w:val="00837D54"/>
    <w:rsid w:val="00840D29"/>
    <w:rsid w:val="00846F21"/>
    <w:rsid w:val="00846FC2"/>
    <w:rsid w:val="00847220"/>
    <w:rsid w:val="0084780F"/>
    <w:rsid w:val="00847BD3"/>
    <w:rsid w:val="008507C8"/>
    <w:rsid w:val="00852307"/>
    <w:rsid w:val="00852E20"/>
    <w:rsid w:val="00854175"/>
    <w:rsid w:val="00854755"/>
    <w:rsid w:val="00855BC9"/>
    <w:rsid w:val="00856988"/>
    <w:rsid w:val="00860ACF"/>
    <w:rsid w:val="00860D94"/>
    <w:rsid w:val="0086505D"/>
    <w:rsid w:val="00867094"/>
    <w:rsid w:val="008672CD"/>
    <w:rsid w:val="00867FC8"/>
    <w:rsid w:val="00870260"/>
    <w:rsid w:val="008736F3"/>
    <w:rsid w:val="00874148"/>
    <w:rsid w:val="0087536B"/>
    <w:rsid w:val="00877446"/>
    <w:rsid w:val="00880980"/>
    <w:rsid w:val="00881085"/>
    <w:rsid w:val="00882D43"/>
    <w:rsid w:val="00883084"/>
    <w:rsid w:val="00883807"/>
    <w:rsid w:val="0088435A"/>
    <w:rsid w:val="00885116"/>
    <w:rsid w:val="00885A54"/>
    <w:rsid w:val="00885CCE"/>
    <w:rsid w:val="00886750"/>
    <w:rsid w:val="00890555"/>
    <w:rsid w:val="0089467C"/>
    <w:rsid w:val="008946EF"/>
    <w:rsid w:val="00894CAC"/>
    <w:rsid w:val="00894D30"/>
    <w:rsid w:val="0089504F"/>
    <w:rsid w:val="0089597D"/>
    <w:rsid w:val="00895DC5"/>
    <w:rsid w:val="008970AA"/>
    <w:rsid w:val="00897726"/>
    <w:rsid w:val="008A0495"/>
    <w:rsid w:val="008A1AF2"/>
    <w:rsid w:val="008A434F"/>
    <w:rsid w:val="008A614D"/>
    <w:rsid w:val="008A64FD"/>
    <w:rsid w:val="008A6608"/>
    <w:rsid w:val="008B0183"/>
    <w:rsid w:val="008B15AF"/>
    <w:rsid w:val="008B1F8F"/>
    <w:rsid w:val="008B21FA"/>
    <w:rsid w:val="008B2248"/>
    <w:rsid w:val="008B280F"/>
    <w:rsid w:val="008B2D51"/>
    <w:rsid w:val="008B3337"/>
    <w:rsid w:val="008B48E4"/>
    <w:rsid w:val="008B4F2E"/>
    <w:rsid w:val="008B5514"/>
    <w:rsid w:val="008B5CBA"/>
    <w:rsid w:val="008B6728"/>
    <w:rsid w:val="008B7131"/>
    <w:rsid w:val="008B7C4E"/>
    <w:rsid w:val="008C0AD5"/>
    <w:rsid w:val="008C0C92"/>
    <w:rsid w:val="008C1048"/>
    <w:rsid w:val="008C130A"/>
    <w:rsid w:val="008C1ED6"/>
    <w:rsid w:val="008C243F"/>
    <w:rsid w:val="008C24A4"/>
    <w:rsid w:val="008C2C4D"/>
    <w:rsid w:val="008C3833"/>
    <w:rsid w:val="008C4417"/>
    <w:rsid w:val="008C66B5"/>
    <w:rsid w:val="008C71A1"/>
    <w:rsid w:val="008D0F43"/>
    <w:rsid w:val="008D1C01"/>
    <w:rsid w:val="008D252A"/>
    <w:rsid w:val="008D2D7C"/>
    <w:rsid w:val="008D2F04"/>
    <w:rsid w:val="008D3037"/>
    <w:rsid w:val="008D7F63"/>
    <w:rsid w:val="008E05FB"/>
    <w:rsid w:val="008E0721"/>
    <w:rsid w:val="008E0A9E"/>
    <w:rsid w:val="008E2827"/>
    <w:rsid w:val="008E3628"/>
    <w:rsid w:val="008E44E9"/>
    <w:rsid w:val="008E69C5"/>
    <w:rsid w:val="008E6BBF"/>
    <w:rsid w:val="008E6CE8"/>
    <w:rsid w:val="008F15B4"/>
    <w:rsid w:val="008F1881"/>
    <w:rsid w:val="008F1906"/>
    <w:rsid w:val="008F1F65"/>
    <w:rsid w:val="008F2CCE"/>
    <w:rsid w:val="008F4579"/>
    <w:rsid w:val="008F4F10"/>
    <w:rsid w:val="008F5246"/>
    <w:rsid w:val="008F5537"/>
    <w:rsid w:val="008F6495"/>
    <w:rsid w:val="008F65D4"/>
    <w:rsid w:val="008F7135"/>
    <w:rsid w:val="00900E39"/>
    <w:rsid w:val="00902CE2"/>
    <w:rsid w:val="00902D3E"/>
    <w:rsid w:val="00903A4F"/>
    <w:rsid w:val="00904838"/>
    <w:rsid w:val="009055D3"/>
    <w:rsid w:val="00905ADD"/>
    <w:rsid w:val="00906CDB"/>
    <w:rsid w:val="00906E10"/>
    <w:rsid w:val="0090713C"/>
    <w:rsid w:val="00910E17"/>
    <w:rsid w:val="00911AAC"/>
    <w:rsid w:val="00912502"/>
    <w:rsid w:val="0091580A"/>
    <w:rsid w:val="00915A31"/>
    <w:rsid w:val="0091758D"/>
    <w:rsid w:val="009208B5"/>
    <w:rsid w:val="00921B39"/>
    <w:rsid w:val="0092218E"/>
    <w:rsid w:val="0092228B"/>
    <w:rsid w:val="00922561"/>
    <w:rsid w:val="00924872"/>
    <w:rsid w:val="0092542D"/>
    <w:rsid w:val="00925FDB"/>
    <w:rsid w:val="00930208"/>
    <w:rsid w:val="00931D33"/>
    <w:rsid w:val="009337DA"/>
    <w:rsid w:val="0093441A"/>
    <w:rsid w:val="0093451B"/>
    <w:rsid w:val="0093502D"/>
    <w:rsid w:val="009353A4"/>
    <w:rsid w:val="00936278"/>
    <w:rsid w:val="00937694"/>
    <w:rsid w:val="0093778C"/>
    <w:rsid w:val="0093781F"/>
    <w:rsid w:val="009400C4"/>
    <w:rsid w:val="0094025C"/>
    <w:rsid w:val="009438D3"/>
    <w:rsid w:val="009457EC"/>
    <w:rsid w:val="00945F3D"/>
    <w:rsid w:val="00946339"/>
    <w:rsid w:val="0094637C"/>
    <w:rsid w:val="00946CA5"/>
    <w:rsid w:val="009479DA"/>
    <w:rsid w:val="00950378"/>
    <w:rsid w:val="0095040B"/>
    <w:rsid w:val="00953E05"/>
    <w:rsid w:val="009546B5"/>
    <w:rsid w:val="00954A26"/>
    <w:rsid w:val="0095567B"/>
    <w:rsid w:val="00956AEE"/>
    <w:rsid w:val="00960BD9"/>
    <w:rsid w:val="009610E9"/>
    <w:rsid w:val="0096221F"/>
    <w:rsid w:val="00962291"/>
    <w:rsid w:val="00962337"/>
    <w:rsid w:val="00963820"/>
    <w:rsid w:val="00963DEC"/>
    <w:rsid w:val="00967393"/>
    <w:rsid w:val="00967745"/>
    <w:rsid w:val="0097005A"/>
    <w:rsid w:val="00970388"/>
    <w:rsid w:val="0097198C"/>
    <w:rsid w:val="00973E3D"/>
    <w:rsid w:val="00974890"/>
    <w:rsid w:val="0097526B"/>
    <w:rsid w:val="00976717"/>
    <w:rsid w:val="00976967"/>
    <w:rsid w:val="009778BD"/>
    <w:rsid w:val="00977F5D"/>
    <w:rsid w:val="009812AF"/>
    <w:rsid w:val="00981BAC"/>
    <w:rsid w:val="00981CF5"/>
    <w:rsid w:val="00983B2E"/>
    <w:rsid w:val="00983FC8"/>
    <w:rsid w:val="009842E0"/>
    <w:rsid w:val="00984BF3"/>
    <w:rsid w:val="00984E71"/>
    <w:rsid w:val="00986461"/>
    <w:rsid w:val="00987DB8"/>
    <w:rsid w:val="00992717"/>
    <w:rsid w:val="00992D6C"/>
    <w:rsid w:val="009934BD"/>
    <w:rsid w:val="009963FA"/>
    <w:rsid w:val="00997C84"/>
    <w:rsid w:val="009A0A5D"/>
    <w:rsid w:val="009A0BB6"/>
    <w:rsid w:val="009A0C95"/>
    <w:rsid w:val="009A0FB4"/>
    <w:rsid w:val="009A122F"/>
    <w:rsid w:val="009A1A37"/>
    <w:rsid w:val="009A1E53"/>
    <w:rsid w:val="009A2F16"/>
    <w:rsid w:val="009A3284"/>
    <w:rsid w:val="009A36DB"/>
    <w:rsid w:val="009A4AA8"/>
    <w:rsid w:val="009A5BD7"/>
    <w:rsid w:val="009A61E9"/>
    <w:rsid w:val="009A6497"/>
    <w:rsid w:val="009A679C"/>
    <w:rsid w:val="009A68B6"/>
    <w:rsid w:val="009A78F3"/>
    <w:rsid w:val="009B10D3"/>
    <w:rsid w:val="009B18FA"/>
    <w:rsid w:val="009B35BC"/>
    <w:rsid w:val="009B454D"/>
    <w:rsid w:val="009B538A"/>
    <w:rsid w:val="009B5EF9"/>
    <w:rsid w:val="009B6BF9"/>
    <w:rsid w:val="009B7F6D"/>
    <w:rsid w:val="009C12C7"/>
    <w:rsid w:val="009C1533"/>
    <w:rsid w:val="009C1680"/>
    <w:rsid w:val="009C1B6C"/>
    <w:rsid w:val="009C2066"/>
    <w:rsid w:val="009C37D6"/>
    <w:rsid w:val="009C392A"/>
    <w:rsid w:val="009C3E28"/>
    <w:rsid w:val="009C40FF"/>
    <w:rsid w:val="009C4773"/>
    <w:rsid w:val="009C4B40"/>
    <w:rsid w:val="009C50B2"/>
    <w:rsid w:val="009C5FA6"/>
    <w:rsid w:val="009C6EEC"/>
    <w:rsid w:val="009D0299"/>
    <w:rsid w:val="009D1BB6"/>
    <w:rsid w:val="009D33C7"/>
    <w:rsid w:val="009D41D0"/>
    <w:rsid w:val="009D455A"/>
    <w:rsid w:val="009D4BF9"/>
    <w:rsid w:val="009D5FB6"/>
    <w:rsid w:val="009D68B2"/>
    <w:rsid w:val="009E00DD"/>
    <w:rsid w:val="009E125A"/>
    <w:rsid w:val="009E126C"/>
    <w:rsid w:val="009E21AA"/>
    <w:rsid w:val="009E238B"/>
    <w:rsid w:val="009E2E51"/>
    <w:rsid w:val="009E554B"/>
    <w:rsid w:val="009E5BD3"/>
    <w:rsid w:val="009E640A"/>
    <w:rsid w:val="009F1C25"/>
    <w:rsid w:val="009F2475"/>
    <w:rsid w:val="009F3068"/>
    <w:rsid w:val="009F365C"/>
    <w:rsid w:val="009F387E"/>
    <w:rsid w:val="009F3F25"/>
    <w:rsid w:val="009F5FBB"/>
    <w:rsid w:val="009F6120"/>
    <w:rsid w:val="009F64FD"/>
    <w:rsid w:val="009F6C77"/>
    <w:rsid w:val="009F6EC3"/>
    <w:rsid w:val="009F78A3"/>
    <w:rsid w:val="00A0026B"/>
    <w:rsid w:val="00A005CB"/>
    <w:rsid w:val="00A00A42"/>
    <w:rsid w:val="00A01637"/>
    <w:rsid w:val="00A01C0F"/>
    <w:rsid w:val="00A01DB9"/>
    <w:rsid w:val="00A02235"/>
    <w:rsid w:val="00A0343F"/>
    <w:rsid w:val="00A03B2A"/>
    <w:rsid w:val="00A05802"/>
    <w:rsid w:val="00A06FB0"/>
    <w:rsid w:val="00A06FD3"/>
    <w:rsid w:val="00A07FEB"/>
    <w:rsid w:val="00A10329"/>
    <w:rsid w:val="00A10BAD"/>
    <w:rsid w:val="00A12990"/>
    <w:rsid w:val="00A13697"/>
    <w:rsid w:val="00A1393E"/>
    <w:rsid w:val="00A1448F"/>
    <w:rsid w:val="00A151DB"/>
    <w:rsid w:val="00A16830"/>
    <w:rsid w:val="00A2056C"/>
    <w:rsid w:val="00A20EC5"/>
    <w:rsid w:val="00A21580"/>
    <w:rsid w:val="00A22B51"/>
    <w:rsid w:val="00A22DCC"/>
    <w:rsid w:val="00A237FB"/>
    <w:rsid w:val="00A245C7"/>
    <w:rsid w:val="00A24C05"/>
    <w:rsid w:val="00A24C9F"/>
    <w:rsid w:val="00A31B3A"/>
    <w:rsid w:val="00A31F73"/>
    <w:rsid w:val="00A32220"/>
    <w:rsid w:val="00A3235F"/>
    <w:rsid w:val="00A32F5A"/>
    <w:rsid w:val="00A32FD5"/>
    <w:rsid w:val="00A3644C"/>
    <w:rsid w:val="00A37C4D"/>
    <w:rsid w:val="00A37EAB"/>
    <w:rsid w:val="00A40156"/>
    <w:rsid w:val="00A40D88"/>
    <w:rsid w:val="00A41AEB"/>
    <w:rsid w:val="00A43D6A"/>
    <w:rsid w:val="00A441E6"/>
    <w:rsid w:val="00A46C77"/>
    <w:rsid w:val="00A47936"/>
    <w:rsid w:val="00A52991"/>
    <w:rsid w:val="00A52A17"/>
    <w:rsid w:val="00A5326F"/>
    <w:rsid w:val="00A54593"/>
    <w:rsid w:val="00A55737"/>
    <w:rsid w:val="00A561B3"/>
    <w:rsid w:val="00A56D7C"/>
    <w:rsid w:val="00A603B1"/>
    <w:rsid w:val="00A6062C"/>
    <w:rsid w:val="00A60B9C"/>
    <w:rsid w:val="00A622F1"/>
    <w:rsid w:val="00A64308"/>
    <w:rsid w:val="00A65739"/>
    <w:rsid w:val="00A66F62"/>
    <w:rsid w:val="00A6710C"/>
    <w:rsid w:val="00A67A9A"/>
    <w:rsid w:val="00A67E94"/>
    <w:rsid w:val="00A709AF"/>
    <w:rsid w:val="00A71C9F"/>
    <w:rsid w:val="00A721CE"/>
    <w:rsid w:val="00A72CB1"/>
    <w:rsid w:val="00A73B5E"/>
    <w:rsid w:val="00A7420F"/>
    <w:rsid w:val="00A75475"/>
    <w:rsid w:val="00A7690E"/>
    <w:rsid w:val="00A776EF"/>
    <w:rsid w:val="00A80863"/>
    <w:rsid w:val="00A80A2A"/>
    <w:rsid w:val="00A80DF2"/>
    <w:rsid w:val="00A810ED"/>
    <w:rsid w:val="00A813BB"/>
    <w:rsid w:val="00A81C0F"/>
    <w:rsid w:val="00A81E8E"/>
    <w:rsid w:val="00A81EC3"/>
    <w:rsid w:val="00A82395"/>
    <w:rsid w:val="00A82F75"/>
    <w:rsid w:val="00A85CCC"/>
    <w:rsid w:val="00A86313"/>
    <w:rsid w:val="00A8797C"/>
    <w:rsid w:val="00A90177"/>
    <w:rsid w:val="00A915BD"/>
    <w:rsid w:val="00A923E2"/>
    <w:rsid w:val="00A937E2"/>
    <w:rsid w:val="00A9389C"/>
    <w:rsid w:val="00A941AD"/>
    <w:rsid w:val="00A9454A"/>
    <w:rsid w:val="00A95DF5"/>
    <w:rsid w:val="00A95EB4"/>
    <w:rsid w:val="00A9758C"/>
    <w:rsid w:val="00A97B39"/>
    <w:rsid w:val="00AA099F"/>
    <w:rsid w:val="00AA0F29"/>
    <w:rsid w:val="00AA13B5"/>
    <w:rsid w:val="00AA1CC5"/>
    <w:rsid w:val="00AA287B"/>
    <w:rsid w:val="00AA3F76"/>
    <w:rsid w:val="00AA3FF8"/>
    <w:rsid w:val="00AA45AF"/>
    <w:rsid w:val="00AA462F"/>
    <w:rsid w:val="00AA4688"/>
    <w:rsid w:val="00AB0081"/>
    <w:rsid w:val="00AB06F9"/>
    <w:rsid w:val="00AB22BC"/>
    <w:rsid w:val="00AB2721"/>
    <w:rsid w:val="00AB29A4"/>
    <w:rsid w:val="00AB307A"/>
    <w:rsid w:val="00AB32FA"/>
    <w:rsid w:val="00AB3866"/>
    <w:rsid w:val="00AB3C71"/>
    <w:rsid w:val="00AB3F02"/>
    <w:rsid w:val="00AB4756"/>
    <w:rsid w:val="00AB5174"/>
    <w:rsid w:val="00AB54DE"/>
    <w:rsid w:val="00AB54E7"/>
    <w:rsid w:val="00AB60CA"/>
    <w:rsid w:val="00AB75DA"/>
    <w:rsid w:val="00AB7A92"/>
    <w:rsid w:val="00AC0F81"/>
    <w:rsid w:val="00AC17E6"/>
    <w:rsid w:val="00AC28FB"/>
    <w:rsid w:val="00AC3DB3"/>
    <w:rsid w:val="00AC43A7"/>
    <w:rsid w:val="00AC45CE"/>
    <w:rsid w:val="00AC4D6B"/>
    <w:rsid w:val="00AC5994"/>
    <w:rsid w:val="00AC752F"/>
    <w:rsid w:val="00AC7D17"/>
    <w:rsid w:val="00AD1C58"/>
    <w:rsid w:val="00AD503C"/>
    <w:rsid w:val="00AD5876"/>
    <w:rsid w:val="00AE0B05"/>
    <w:rsid w:val="00AE194A"/>
    <w:rsid w:val="00AE3C16"/>
    <w:rsid w:val="00AE4286"/>
    <w:rsid w:val="00AE591F"/>
    <w:rsid w:val="00AE5968"/>
    <w:rsid w:val="00AE615F"/>
    <w:rsid w:val="00AE73C1"/>
    <w:rsid w:val="00AE7B47"/>
    <w:rsid w:val="00AE7C7F"/>
    <w:rsid w:val="00AF0B24"/>
    <w:rsid w:val="00AF5949"/>
    <w:rsid w:val="00AF6077"/>
    <w:rsid w:val="00AF663C"/>
    <w:rsid w:val="00AF7691"/>
    <w:rsid w:val="00AF7AD6"/>
    <w:rsid w:val="00AF7F7A"/>
    <w:rsid w:val="00B00C11"/>
    <w:rsid w:val="00B0204C"/>
    <w:rsid w:val="00B0342E"/>
    <w:rsid w:val="00B03B05"/>
    <w:rsid w:val="00B07254"/>
    <w:rsid w:val="00B074EA"/>
    <w:rsid w:val="00B077AE"/>
    <w:rsid w:val="00B10DC1"/>
    <w:rsid w:val="00B11CF2"/>
    <w:rsid w:val="00B138C2"/>
    <w:rsid w:val="00B13DAA"/>
    <w:rsid w:val="00B14F2C"/>
    <w:rsid w:val="00B1738A"/>
    <w:rsid w:val="00B173BC"/>
    <w:rsid w:val="00B17439"/>
    <w:rsid w:val="00B17B3F"/>
    <w:rsid w:val="00B17B6E"/>
    <w:rsid w:val="00B20F2C"/>
    <w:rsid w:val="00B21FE0"/>
    <w:rsid w:val="00B22B04"/>
    <w:rsid w:val="00B231CB"/>
    <w:rsid w:val="00B25537"/>
    <w:rsid w:val="00B26EB0"/>
    <w:rsid w:val="00B26EE5"/>
    <w:rsid w:val="00B308CF"/>
    <w:rsid w:val="00B3144E"/>
    <w:rsid w:val="00B34FC1"/>
    <w:rsid w:val="00B351D7"/>
    <w:rsid w:val="00B352BF"/>
    <w:rsid w:val="00B356DC"/>
    <w:rsid w:val="00B35E44"/>
    <w:rsid w:val="00B36E9F"/>
    <w:rsid w:val="00B37A03"/>
    <w:rsid w:val="00B4102D"/>
    <w:rsid w:val="00B418CC"/>
    <w:rsid w:val="00B42E4C"/>
    <w:rsid w:val="00B434FE"/>
    <w:rsid w:val="00B4459D"/>
    <w:rsid w:val="00B45B19"/>
    <w:rsid w:val="00B463D4"/>
    <w:rsid w:val="00B471E9"/>
    <w:rsid w:val="00B47600"/>
    <w:rsid w:val="00B503D6"/>
    <w:rsid w:val="00B50DC2"/>
    <w:rsid w:val="00B5188F"/>
    <w:rsid w:val="00B5272B"/>
    <w:rsid w:val="00B52FC5"/>
    <w:rsid w:val="00B54FA2"/>
    <w:rsid w:val="00B554DF"/>
    <w:rsid w:val="00B563DD"/>
    <w:rsid w:val="00B5665C"/>
    <w:rsid w:val="00B5702A"/>
    <w:rsid w:val="00B57496"/>
    <w:rsid w:val="00B57600"/>
    <w:rsid w:val="00B57E09"/>
    <w:rsid w:val="00B606B5"/>
    <w:rsid w:val="00B62642"/>
    <w:rsid w:val="00B62983"/>
    <w:rsid w:val="00B6438D"/>
    <w:rsid w:val="00B65744"/>
    <w:rsid w:val="00B657F6"/>
    <w:rsid w:val="00B65D93"/>
    <w:rsid w:val="00B66141"/>
    <w:rsid w:val="00B66925"/>
    <w:rsid w:val="00B67CF2"/>
    <w:rsid w:val="00B705B4"/>
    <w:rsid w:val="00B7081E"/>
    <w:rsid w:val="00B70829"/>
    <w:rsid w:val="00B709C2"/>
    <w:rsid w:val="00B7202A"/>
    <w:rsid w:val="00B722F6"/>
    <w:rsid w:val="00B7382B"/>
    <w:rsid w:val="00B73DD2"/>
    <w:rsid w:val="00B747BC"/>
    <w:rsid w:val="00B758A3"/>
    <w:rsid w:val="00B75957"/>
    <w:rsid w:val="00B80B22"/>
    <w:rsid w:val="00B82120"/>
    <w:rsid w:val="00B822AA"/>
    <w:rsid w:val="00B82750"/>
    <w:rsid w:val="00B8281E"/>
    <w:rsid w:val="00B82A75"/>
    <w:rsid w:val="00B83005"/>
    <w:rsid w:val="00B84BD9"/>
    <w:rsid w:val="00B84C85"/>
    <w:rsid w:val="00B867A6"/>
    <w:rsid w:val="00B87083"/>
    <w:rsid w:val="00B875E2"/>
    <w:rsid w:val="00B909DD"/>
    <w:rsid w:val="00B90C55"/>
    <w:rsid w:val="00B91598"/>
    <w:rsid w:val="00B91D72"/>
    <w:rsid w:val="00B9336E"/>
    <w:rsid w:val="00B949D5"/>
    <w:rsid w:val="00B95FA9"/>
    <w:rsid w:val="00B962B8"/>
    <w:rsid w:val="00BA1622"/>
    <w:rsid w:val="00BA1CDE"/>
    <w:rsid w:val="00BA1F22"/>
    <w:rsid w:val="00BA2248"/>
    <w:rsid w:val="00BA2A17"/>
    <w:rsid w:val="00BA2C2C"/>
    <w:rsid w:val="00BA40B8"/>
    <w:rsid w:val="00BA5DA9"/>
    <w:rsid w:val="00BA6E06"/>
    <w:rsid w:val="00BA71F7"/>
    <w:rsid w:val="00BB1B0E"/>
    <w:rsid w:val="00BB35EE"/>
    <w:rsid w:val="00BB4185"/>
    <w:rsid w:val="00BB454A"/>
    <w:rsid w:val="00BB45FA"/>
    <w:rsid w:val="00BB57FB"/>
    <w:rsid w:val="00BB5ACB"/>
    <w:rsid w:val="00BB5DE8"/>
    <w:rsid w:val="00BB684D"/>
    <w:rsid w:val="00BB6B41"/>
    <w:rsid w:val="00BB70A6"/>
    <w:rsid w:val="00BB7592"/>
    <w:rsid w:val="00BC0EB4"/>
    <w:rsid w:val="00BC1596"/>
    <w:rsid w:val="00BC185D"/>
    <w:rsid w:val="00BC18CB"/>
    <w:rsid w:val="00BC18D0"/>
    <w:rsid w:val="00BC1B67"/>
    <w:rsid w:val="00BC216C"/>
    <w:rsid w:val="00BC35F7"/>
    <w:rsid w:val="00BC360B"/>
    <w:rsid w:val="00BC3D27"/>
    <w:rsid w:val="00BC4325"/>
    <w:rsid w:val="00BC50B6"/>
    <w:rsid w:val="00BC531B"/>
    <w:rsid w:val="00BC6393"/>
    <w:rsid w:val="00BC75F0"/>
    <w:rsid w:val="00BD05CB"/>
    <w:rsid w:val="00BD0E5D"/>
    <w:rsid w:val="00BD0F3B"/>
    <w:rsid w:val="00BD22E4"/>
    <w:rsid w:val="00BD33AE"/>
    <w:rsid w:val="00BD46A6"/>
    <w:rsid w:val="00BD5258"/>
    <w:rsid w:val="00BD6186"/>
    <w:rsid w:val="00BE022A"/>
    <w:rsid w:val="00BE1FA6"/>
    <w:rsid w:val="00BE27D4"/>
    <w:rsid w:val="00BE2DFD"/>
    <w:rsid w:val="00BE2E1D"/>
    <w:rsid w:val="00BE354D"/>
    <w:rsid w:val="00BE4734"/>
    <w:rsid w:val="00BE4BEE"/>
    <w:rsid w:val="00BE5988"/>
    <w:rsid w:val="00BE60FA"/>
    <w:rsid w:val="00BE6E4A"/>
    <w:rsid w:val="00BF22ED"/>
    <w:rsid w:val="00BF27BC"/>
    <w:rsid w:val="00BF2AA0"/>
    <w:rsid w:val="00BF4423"/>
    <w:rsid w:val="00BF4700"/>
    <w:rsid w:val="00BF59BF"/>
    <w:rsid w:val="00BF5AFA"/>
    <w:rsid w:val="00BF5B8E"/>
    <w:rsid w:val="00BF655E"/>
    <w:rsid w:val="00BF6FF4"/>
    <w:rsid w:val="00BF789A"/>
    <w:rsid w:val="00C00564"/>
    <w:rsid w:val="00C00ADB"/>
    <w:rsid w:val="00C01784"/>
    <w:rsid w:val="00C02B45"/>
    <w:rsid w:val="00C03AF1"/>
    <w:rsid w:val="00C046F1"/>
    <w:rsid w:val="00C05700"/>
    <w:rsid w:val="00C06567"/>
    <w:rsid w:val="00C06948"/>
    <w:rsid w:val="00C06C0E"/>
    <w:rsid w:val="00C0786C"/>
    <w:rsid w:val="00C10220"/>
    <w:rsid w:val="00C10AEE"/>
    <w:rsid w:val="00C1121B"/>
    <w:rsid w:val="00C11561"/>
    <w:rsid w:val="00C12B5E"/>
    <w:rsid w:val="00C13512"/>
    <w:rsid w:val="00C1472F"/>
    <w:rsid w:val="00C149EF"/>
    <w:rsid w:val="00C17FF6"/>
    <w:rsid w:val="00C21676"/>
    <w:rsid w:val="00C21BA5"/>
    <w:rsid w:val="00C22DBC"/>
    <w:rsid w:val="00C23663"/>
    <w:rsid w:val="00C244B0"/>
    <w:rsid w:val="00C24DDF"/>
    <w:rsid w:val="00C24FE3"/>
    <w:rsid w:val="00C2517F"/>
    <w:rsid w:val="00C25B4D"/>
    <w:rsid w:val="00C26358"/>
    <w:rsid w:val="00C270E2"/>
    <w:rsid w:val="00C27672"/>
    <w:rsid w:val="00C3097A"/>
    <w:rsid w:val="00C32BF7"/>
    <w:rsid w:val="00C33DE6"/>
    <w:rsid w:val="00C353EA"/>
    <w:rsid w:val="00C35B2D"/>
    <w:rsid w:val="00C35E31"/>
    <w:rsid w:val="00C37378"/>
    <w:rsid w:val="00C37CF7"/>
    <w:rsid w:val="00C41B29"/>
    <w:rsid w:val="00C43C3A"/>
    <w:rsid w:val="00C44119"/>
    <w:rsid w:val="00C50419"/>
    <w:rsid w:val="00C504EE"/>
    <w:rsid w:val="00C511FB"/>
    <w:rsid w:val="00C514D8"/>
    <w:rsid w:val="00C51E88"/>
    <w:rsid w:val="00C52258"/>
    <w:rsid w:val="00C53B3C"/>
    <w:rsid w:val="00C55157"/>
    <w:rsid w:val="00C556EE"/>
    <w:rsid w:val="00C55B5D"/>
    <w:rsid w:val="00C561E7"/>
    <w:rsid w:val="00C56753"/>
    <w:rsid w:val="00C56F46"/>
    <w:rsid w:val="00C576EB"/>
    <w:rsid w:val="00C600EC"/>
    <w:rsid w:val="00C6090F"/>
    <w:rsid w:val="00C61D3F"/>
    <w:rsid w:val="00C624B0"/>
    <w:rsid w:val="00C62682"/>
    <w:rsid w:val="00C63038"/>
    <w:rsid w:val="00C6469C"/>
    <w:rsid w:val="00C655B6"/>
    <w:rsid w:val="00C66A35"/>
    <w:rsid w:val="00C671F5"/>
    <w:rsid w:val="00C70A1D"/>
    <w:rsid w:val="00C710C1"/>
    <w:rsid w:val="00C72399"/>
    <w:rsid w:val="00C72FA2"/>
    <w:rsid w:val="00C744E6"/>
    <w:rsid w:val="00C752B2"/>
    <w:rsid w:val="00C77181"/>
    <w:rsid w:val="00C77251"/>
    <w:rsid w:val="00C77C27"/>
    <w:rsid w:val="00C8027F"/>
    <w:rsid w:val="00C81F18"/>
    <w:rsid w:val="00C838D4"/>
    <w:rsid w:val="00C84E07"/>
    <w:rsid w:val="00C85664"/>
    <w:rsid w:val="00C859B8"/>
    <w:rsid w:val="00C9093C"/>
    <w:rsid w:val="00C914C3"/>
    <w:rsid w:val="00C91BE4"/>
    <w:rsid w:val="00C926A3"/>
    <w:rsid w:val="00C92BA2"/>
    <w:rsid w:val="00C92F6D"/>
    <w:rsid w:val="00C93482"/>
    <w:rsid w:val="00C93740"/>
    <w:rsid w:val="00C9449F"/>
    <w:rsid w:val="00C9506A"/>
    <w:rsid w:val="00C9542F"/>
    <w:rsid w:val="00C9582F"/>
    <w:rsid w:val="00C95906"/>
    <w:rsid w:val="00C96728"/>
    <w:rsid w:val="00C97DCC"/>
    <w:rsid w:val="00CA13EE"/>
    <w:rsid w:val="00CA1484"/>
    <w:rsid w:val="00CA17E7"/>
    <w:rsid w:val="00CA2BDA"/>
    <w:rsid w:val="00CA326B"/>
    <w:rsid w:val="00CA45F1"/>
    <w:rsid w:val="00CA4BC8"/>
    <w:rsid w:val="00CA5436"/>
    <w:rsid w:val="00CA5C5C"/>
    <w:rsid w:val="00CA5F3B"/>
    <w:rsid w:val="00CA6954"/>
    <w:rsid w:val="00CA793D"/>
    <w:rsid w:val="00CB055F"/>
    <w:rsid w:val="00CB0620"/>
    <w:rsid w:val="00CB1D50"/>
    <w:rsid w:val="00CB25EB"/>
    <w:rsid w:val="00CB28AA"/>
    <w:rsid w:val="00CB2F59"/>
    <w:rsid w:val="00CB3682"/>
    <w:rsid w:val="00CB422F"/>
    <w:rsid w:val="00CB45DF"/>
    <w:rsid w:val="00CB536C"/>
    <w:rsid w:val="00CB5B5C"/>
    <w:rsid w:val="00CB5E9F"/>
    <w:rsid w:val="00CB6141"/>
    <w:rsid w:val="00CB63DB"/>
    <w:rsid w:val="00CC00EE"/>
    <w:rsid w:val="00CC2166"/>
    <w:rsid w:val="00CC2205"/>
    <w:rsid w:val="00CC3E67"/>
    <w:rsid w:val="00CC69F8"/>
    <w:rsid w:val="00CD10F8"/>
    <w:rsid w:val="00CD129C"/>
    <w:rsid w:val="00CD19FB"/>
    <w:rsid w:val="00CD29AD"/>
    <w:rsid w:val="00CD2AB5"/>
    <w:rsid w:val="00CD2E14"/>
    <w:rsid w:val="00CD37F9"/>
    <w:rsid w:val="00CD38B4"/>
    <w:rsid w:val="00CD3A1C"/>
    <w:rsid w:val="00CD5B88"/>
    <w:rsid w:val="00CD5D40"/>
    <w:rsid w:val="00CD604C"/>
    <w:rsid w:val="00CD6B15"/>
    <w:rsid w:val="00CD6CC6"/>
    <w:rsid w:val="00CD77CB"/>
    <w:rsid w:val="00CE1C1C"/>
    <w:rsid w:val="00CE376B"/>
    <w:rsid w:val="00CE7775"/>
    <w:rsid w:val="00CE7CD1"/>
    <w:rsid w:val="00CF047E"/>
    <w:rsid w:val="00CF0AB7"/>
    <w:rsid w:val="00CF0E6C"/>
    <w:rsid w:val="00CF157C"/>
    <w:rsid w:val="00CF1F8C"/>
    <w:rsid w:val="00CF3424"/>
    <w:rsid w:val="00CF56E1"/>
    <w:rsid w:val="00CF6368"/>
    <w:rsid w:val="00CF63E6"/>
    <w:rsid w:val="00CF6C00"/>
    <w:rsid w:val="00CF6F35"/>
    <w:rsid w:val="00CF7E1D"/>
    <w:rsid w:val="00D00A3B"/>
    <w:rsid w:val="00D01919"/>
    <w:rsid w:val="00D01C6B"/>
    <w:rsid w:val="00D02116"/>
    <w:rsid w:val="00D02346"/>
    <w:rsid w:val="00D03070"/>
    <w:rsid w:val="00D03197"/>
    <w:rsid w:val="00D0344D"/>
    <w:rsid w:val="00D03EFD"/>
    <w:rsid w:val="00D040D7"/>
    <w:rsid w:val="00D0431B"/>
    <w:rsid w:val="00D04394"/>
    <w:rsid w:val="00D05093"/>
    <w:rsid w:val="00D06D52"/>
    <w:rsid w:val="00D074C7"/>
    <w:rsid w:val="00D07B2F"/>
    <w:rsid w:val="00D10773"/>
    <w:rsid w:val="00D10ABF"/>
    <w:rsid w:val="00D119B9"/>
    <w:rsid w:val="00D11CCF"/>
    <w:rsid w:val="00D1341D"/>
    <w:rsid w:val="00D13E1A"/>
    <w:rsid w:val="00D15DF0"/>
    <w:rsid w:val="00D17836"/>
    <w:rsid w:val="00D2220A"/>
    <w:rsid w:val="00D22302"/>
    <w:rsid w:val="00D23A78"/>
    <w:rsid w:val="00D243EC"/>
    <w:rsid w:val="00D2459E"/>
    <w:rsid w:val="00D2492E"/>
    <w:rsid w:val="00D25EF6"/>
    <w:rsid w:val="00D25F24"/>
    <w:rsid w:val="00D26667"/>
    <w:rsid w:val="00D270A8"/>
    <w:rsid w:val="00D270DC"/>
    <w:rsid w:val="00D270E2"/>
    <w:rsid w:val="00D322D7"/>
    <w:rsid w:val="00D34B51"/>
    <w:rsid w:val="00D35CEE"/>
    <w:rsid w:val="00D35D99"/>
    <w:rsid w:val="00D36622"/>
    <w:rsid w:val="00D37BDD"/>
    <w:rsid w:val="00D40E8D"/>
    <w:rsid w:val="00D41824"/>
    <w:rsid w:val="00D42CD3"/>
    <w:rsid w:val="00D4334B"/>
    <w:rsid w:val="00D43363"/>
    <w:rsid w:val="00D4372F"/>
    <w:rsid w:val="00D44D7B"/>
    <w:rsid w:val="00D45682"/>
    <w:rsid w:val="00D45982"/>
    <w:rsid w:val="00D46454"/>
    <w:rsid w:val="00D46D23"/>
    <w:rsid w:val="00D46DFC"/>
    <w:rsid w:val="00D4705B"/>
    <w:rsid w:val="00D506AC"/>
    <w:rsid w:val="00D52779"/>
    <w:rsid w:val="00D5285D"/>
    <w:rsid w:val="00D53968"/>
    <w:rsid w:val="00D53A0C"/>
    <w:rsid w:val="00D53D48"/>
    <w:rsid w:val="00D53EA1"/>
    <w:rsid w:val="00D54601"/>
    <w:rsid w:val="00D54628"/>
    <w:rsid w:val="00D5614E"/>
    <w:rsid w:val="00D56228"/>
    <w:rsid w:val="00D56ED6"/>
    <w:rsid w:val="00D574D3"/>
    <w:rsid w:val="00D63B86"/>
    <w:rsid w:val="00D64627"/>
    <w:rsid w:val="00D64BF3"/>
    <w:rsid w:val="00D64FF0"/>
    <w:rsid w:val="00D65594"/>
    <w:rsid w:val="00D669A2"/>
    <w:rsid w:val="00D66BE2"/>
    <w:rsid w:val="00D72F8C"/>
    <w:rsid w:val="00D74637"/>
    <w:rsid w:val="00D7499E"/>
    <w:rsid w:val="00D7665B"/>
    <w:rsid w:val="00D76BAC"/>
    <w:rsid w:val="00D776B9"/>
    <w:rsid w:val="00D80672"/>
    <w:rsid w:val="00D812BE"/>
    <w:rsid w:val="00D8161B"/>
    <w:rsid w:val="00D8235E"/>
    <w:rsid w:val="00D82C15"/>
    <w:rsid w:val="00D8325D"/>
    <w:rsid w:val="00D8496A"/>
    <w:rsid w:val="00D84F60"/>
    <w:rsid w:val="00D85A72"/>
    <w:rsid w:val="00D8658A"/>
    <w:rsid w:val="00D871D4"/>
    <w:rsid w:val="00D87B5A"/>
    <w:rsid w:val="00D912A6"/>
    <w:rsid w:val="00D91545"/>
    <w:rsid w:val="00D9252D"/>
    <w:rsid w:val="00D93FEC"/>
    <w:rsid w:val="00D944D0"/>
    <w:rsid w:val="00D95B00"/>
    <w:rsid w:val="00D973FA"/>
    <w:rsid w:val="00D97CAC"/>
    <w:rsid w:val="00DA2D25"/>
    <w:rsid w:val="00DA32EF"/>
    <w:rsid w:val="00DA3A52"/>
    <w:rsid w:val="00DA3AFD"/>
    <w:rsid w:val="00DA492A"/>
    <w:rsid w:val="00DB2269"/>
    <w:rsid w:val="00DB26E2"/>
    <w:rsid w:val="00DB2A5C"/>
    <w:rsid w:val="00DB30BE"/>
    <w:rsid w:val="00DB38C1"/>
    <w:rsid w:val="00DB38CC"/>
    <w:rsid w:val="00DB41FE"/>
    <w:rsid w:val="00DB4A84"/>
    <w:rsid w:val="00DB5B83"/>
    <w:rsid w:val="00DB66C5"/>
    <w:rsid w:val="00DB6E58"/>
    <w:rsid w:val="00DB7C0B"/>
    <w:rsid w:val="00DC0ABB"/>
    <w:rsid w:val="00DC0BEE"/>
    <w:rsid w:val="00DC1CC0"/>
    <w:rsid w:val="00DC28BA"/>
    <w:rsid w:val="00DC2DC7"/>
    <w:rsid w:val="00DC2E8A"/>
    <w:rsid w:val="00DC461E"/>
    <w:rsid w:val="00DC47DA"/>
    <w:rsid w:val="00DC5013"/>
    <w:rsid w:val="00DC5576"/>
    <w:rsid w:val="00DC55C5"/>
    <w:rsid w:val="00DC561E"/>
    <w:rsid w:val="00DC5B8F"/>
    <w:rsid w:val="00DC5C18"/>
    <w:rsid w:val="00DC72E2"/>
    <w:rsid w:val="00DD228A"/>
    <w:rsid w:val="00DD325D"/>
    <w:rsid w:val="00DD3EE7"/>
    <w:rsid w:val="00DD3F15"/>
    <w:rsid w:val="00DD4782"/>
    <w:rsid w:val="00DD6606"/>
    <w:rsid w:val="00DD7FB4"/>
    <w:rsid w:val="00DE1A6B"/>
    <w:rsid w:val="00DE2588"/>
    <w:rsid w:val="00DE2F73"/>
    <w:rsid w:val="00DE303C"/>
    <w:rsid w:val="00DE389F"/>
    <w:rsid w:val="00DE5F8F"/>
    <w:rsid w:val="00DE74FB"/>
    <w:rsid w:val="00DE78A0"/>
    <w:rsid w:val="00DE7D1D"/>
    <w:rsid w:val="00DF0477"/>
    <w:rsid w:val="00DF09DD"/>
    <w:rsid w:val="00DF0F67"/>
    <w:rsid w:val="00DF11CD"/>
    <w:rsid w:val="00DF17D6"/>
    <w:rsid w:val="00DF2A5D"/>
    <w:rsid w:val="00DF30DE"/>
    <w:rsid w:val="00DF3A69"/>
    <w:rsid w:val="00DF75DB"/>
    <w:rsid w:val="00E01035"/>
    <w:rsid w:val="00E0104E"/>
    <w:rsid w:val="00E022D2"/>
    <w:rsid w:val="00E04044"/>
    <w:rsid w:val="00E0489F"/>
    <w:rsid w:val="00E055AA"/>
    <w:rsid w:val="00E05FD8"/>
    <w:rsid w:val="00E0693A"/>
    <w:rsid w:val="00E07C78"/>
    <w:rsid w:val="00E111FF"/>
    <w:rsid w:val="00E113CB"/>
    <w:rsid w:val="00E1225E"/>
    <w:rsid w:val="00E12322"/>
    <w:rsid w:val="00E14A5B"/>
    <w:rsid w:val="00E152C9"/>
    <w:rsid w:val="00E15602"/>
    <w:rsid w:val="00E15F13"/>
    <w:rsid w:val="00E16200"/>
    <w:rsid w:val="00E164AC"/>
    <w:rsid w:val="00E166B7"/>
    <w:rsid w:val="00E16A9B"/>
    <w:rsid w:val="00E16D0C"/>
    <w:rsid w:val="00E17305"/>
    <w:rsid w:val="00E20101"/>
    <w:rsid w:val="00E20507"/>
    <w:rsid w:val="00E208A0"/>
    <w:rsid w:val="00E209B0"/>
    <w:rsid w:val="00E242C7"/>
    <w:rsid w:val="00E245B1"/>
    <w:rsid w:val="00E24C6D"/>
    <w:rsid w:val="00E250D7"/>
    <w:rsid w:val="00E30F63"/>
    <w:rsid w:val="00E3121F"/>
    <w:rsid w:val="00E32548"/>
    <w:rsid w:val="00E32DB0"/>
    <w:rsid w:val="00E34A93"/>
    <w:rsid w:val="00E375BE"/>
    <w:rsid w:val="00E37A27"/>
    <w:rsid w:val="00E4186D"/>
    <w:rsid w:val="00E43297"/>
    <w:rsid w:val="00E444C1"/>
    <w:rsid w:val="00E445BE"/>
    <w:rsid w:val="00E45502"/>
    <w:rsid w:val="00E4589F"/>
    <w:rsid w:val="00E45BA8"/>
    <w:rsid w:val="00E46CB9"/>
    <w:rsid w:val="00E4753F"/>
    <w:rsid w:val="00E50150"/>
    <w:rsid w:val="00E508A4"/>
    <w:rsid w:val="00E5097E"/>
    <w:rsid w:val="00E51400"/>
    <w:rsid w:val="00E5356D"/>
    <w:rsid w:val="00E53872"/>
    <w:rsid w:val="00E53973"/>
    <w:rsid w:val="00E54551"/>
    <w:rsid w:val="00E54B5D"/>
    <w:rsid w:val="00E55C1A"/>
    <w:rsid w:val="00E56C4B"/>
    <w:rsid w:val="00E56DFD"/>
    <w:rsid w:val="00E573D8"/>
    <w:rsid w:val="00E57565"/>
    <w:rsid w:val="00E57D46"/>
    <w:rsid w:val="00E6042A"/>
    <w:rsid w:val="00E6110B"/>
    <w:rsid w:val="00E61986"/>
    <w:rsid w:val="00E622D5"/>
    <w:rsid w:val="00E62374"/>
    <w:rsid w:val="00E62E40"/>
    <w:rsid w:val="00E6487C"/>
    <w:rsid w:val="00E64BA8"/>
    <w:rsid w:val="00E66439"/>
    <w:rsid w:val="00E7001A"/>
    <w:rsid w:val="00E7098D"/>
    <w:rsid w:val="00E71291"/>
    <w:rsid w:val="00E71651"/>
    <w:rsid w:val="00E7350E"/>
    <w:rsid w:val="00E74999"/>
    <w:rsid w:val="00E7584A"/>
    <w:rsid w:val="00E75BC7"/>
    <w:rsid w:val="00E75D4B"/>
    <w:rsid w:val="00E75F1B"/>
    <w:rsid w:val="00E76167"/>
    <w:rsid w:val="00E771F0"/>
    <w:rsid w:val="00E77278"/>
    <w:rsid w:val="00E8031E"/>
    <w:rsid w:val="00E812B4"/>
    <w:rsid w:val="00E81C80"/>
    <w:rsid w:val="00E82472"/>
    <w:rsid w:val="00E83C37"/>
    <w:rsid w:val="00E848C1"/>
    <w:rsid w:val="00E8500A"/>
    <w:rsid w:val="00E866A6"/>
    <w:rsid w:val="00E90C95"/>
    <w:rsid w:val="00E91768"/>
    <w:rsid w:val="00E936B7"/>
    <w:rsid w:val="00E93A41"/>
    <w:rsid w:val="00E94CAB"/>
    <w:rsid w:val="00E950D6"/>
    <w:rsid w:val="00E95E49"/>
    <w:rsid w:val="00E97036"/>
    <w:rsid w:val="00E973B9"/>
    <w:rsid w:val="00EA1465"/>
    <w:rsid w:val="00EA435E"/>
    <w:rsid w:val="00EA52BE"/>
    <w:rsid w:val="00EA6426"/>
    <w:rsid w:val="00EA715B"/>
    <w:rsid w:val="00EA7330"/>
    <w:rsid w:val="00EA7472"/>
    <w:rsid w:val="00EA7FCB"/>
    <w:rsid w:val="00EB0683"/>
    <w:rsid w:val="00EB3818"/>
    <w:rsid w:val="00EB53AE"/>
    <w:rsid w:val="00EB656B"/>
    <w:rsid w:val="00EB778C"/>
    <w:rsid w:val="00EC0D51"/>
    <w:rsid w:val="00EC176E"/>
    <w:rsid w:val="00EC1B10"/>
    <w:rsid w:val="00EC43F3"/>
    <w:rsid w:val="00EC447A"/>
    <w:rsid w:val="00EC4F16"/>
    <w:rsid w:val="00EC4F50"/>
    <w:rsid w:val="00EC64D2"/>
    <w:rsid w:val="00ED1A81"/>
    <w:rsid w:val="00ED346C"/>
    <w:rsid w:val="00ED349F"/>
    <w:rsid w:val="00ED369E"/>
    <w:rsid w:val="00ED3A75"/>
    <w:rsid w:val="00ED3AB9"/>
    <w:rsid w:val="00EE0422"/>
    <w:rsid w:val="00EE21E4"/>
    <w:rsid w:val="00EE2A39"/>
    <w:rsid w:val="00EE4022"/>
    <w:rsid w:val="00EE49A1"/>
    <w:rsid w:val="00EE49E6"/>
    <w:rsid w:val="00EF1367"/>
    <w:rsid w:val="00EF17FC"/>
    <w:rsid w:val="00EF33D7"/>
    <w:rsid w:val="00EF34C8"/>
    <w:rsid w:val="00EF3A5D"/>
    <w:rsid w:val="00EF3FB7"/>
    <w:rsid w:val="00EF4C83"/>
    <w:rsid w:val="00EF63AF"/>
    <w:rsid w:val="00EF7A37"/>
    <w:rsid w:val="00F00F34"/>
    <w:rsid w:val="00F010E4"/>
    <w:rsid w:val="00F01FDE"/>
    <w:rsid w:val="00F038CE"/>
    <w:rsid w:val="00F07970"/>
    <w:rsid w:val="00F07C6C"/>
    <w:rsid w:val="00F10B54"/>
    <w:rsid w:val="00F1102F"/>
    <w:rsid w:val="00F11451"/>
    <w:rsid w:val="00F12993"/>
    <w:rsid w:val="00F12DD4"/>
    <w:rsid w:val="00F12FF3"/>
    <w:rsid w:val="00F1333E"/>
    <w:rsid w:val="00F136EE"/>
    <w:rsid w:val="00F138F3"/>
    <w:rsid w:val="00F14CAC"/>
    <w:rsid w:val="00F14E88"/>
    <w:rsid w:val="00F15D54"/>
    <w:rsid w:val="00F16288"/>
    <w:rsid w:val="00F16502"/>
    <w:rsid w:val="00F17DAC"/>
    <w:rsid w:val="00F22765"/>
    <w:rsid w:val="00F22B5F"/>
    <w:rsid w:val="00F24F6F"/>
    <w:rsid w:val="00F252AF"/>
    <w:rsid w:val="00F261C5"/>
    <w:rsid w:val="00F26BF0"/>
    <w:rsid w:val="00F270DF"/>
    <w:rsid w:val="00F31743"/>
    <w:rsid w:val="00F327A0"/>
    <w:rsid w:val="00F349FE"/>
    <w:rsid w:val="00F34F78"/>
    <w:rsid w:val="00F352EE"/>
    <w:rsid w:val="00F35BE2"/>
    <w:rsid w:val="00F35C5D"/>
    <w:rsid w:val="00F35F3F"/>
    <w:rsid w:val="00F36D65"/>
    <w:rsid w:val="00F36FC1"/>
    <w:rsid w:val="00F3714A"/>
    <w:rsid w:val="00F4238F"/>
    <w:rsid w:val="00F42C2F"/>
    <w:rsid w:val="00F42E30"/>
    <w:rsid w:val="00F43EF0"/>
    <w:rsid w:val="00F44608"/>
    <w:rsid w:val="00F44A67"/>
    <w:rsid w:val="00F46460"/>
    <w:rsid w:val="00F4698E"/>
    <w:rsid w:val="00F50343"/>
    <w:rsid w:val="00F5041E"/>
    <w:rsid w:val="00F505F4"/>
    <w:rsid w:val="00F50C3C"/>
    <w:rsid w:val="00F51080"/>
    <w:rsid w:val="00F53061"/>
    <w:rsid w:val="00F54B64"/>
    <w:rsid w:val="00F602B2"/>
    <w:rsid w:val="00F60C8A"/>
    <w:rsid w:val="00F61E32"/>
    <w:rsid w:val="00F61EEE"/>
    <w:rsid w:val="00F63F1A"/>
    <w:rsid w:val="00F64457"/>
    <w:rsid w:val="00F64590"/>
    <w:rsid w:val="00F647A7"/>
    <w:rsid w:val="00F67EE3"/>
    <w:rsid w:val="00F703D2"/>
    <w:rsid w:val="00F71017"/>
    <w:rsid w:val="00F71927"/>
    <w:rsid w:val="00F73664"/>
    <w:rsid w:val="00F74022"/>
    <w:rsid w:val="00F74243"/>
    <w:rsid w:val="00F7490A"/>
    <w:rsid w:val="00F75157"/>
    <w:rsid w:val="00F7515C"/>
    <w:rsid w:val="00F76C24"/>
    <w:rsid w:val="00F76FF4"/>
    <w:rsid w:val="00F77DAE"/>
    <w:rsid w:val="00F80A2D"/>
    <w:rsid w:val="00F816B4"/>
    <w:rsid w:val="00F81D45"/>
    <w:rsid w:val="00F823A3"/>
    <w:rsid w:val="00F83166"/>
    <w:rsid w:val="00F83435"/>
    <w:rsid w:val="00F838A9"/>
    <w:rsid w:val="00F84229"/>
    <w:rsid w:val="00F84801"/>
    <w:rsid w:val="00F85CF1"/>
    <w:rsid w:val="00F862AD"/>
    <w:rsid w:val="00F87045"/>
    <w:rsid w:val="00F91501"/>
    <w:rsid w:val="00F93962"/>
    <w:rsid w:val="00F93CAF"/>
    <w:rsid w:val="00F9468E"/>
    <w:rsid w:val="00F96064"/>
    <w:rsid w:val="00F96641"/>
    <w:rsid w:val="00F9795C"/>
    <w:rsid w:val="00FA0ED2"/>
    <w:rsid w:val="00FA1E10"/>
    <w:rsid w:val="00FA1EB5"/>
    <w:rsid w:val="00FA22EB"/>
    <w:rsid w:val="00FA2C43"/>
    <w:rsid w:val="00FA4D48"/>
    <w:rsid w:val="00FA559A"/>
    <w:rsid w:val="00FA58C3"/>
    <w:rsid w:val="00FA5EA3"/>
    <w:rsid w:val="00FA5EE9"/>
    <w:rsid w:val="00FA7BC2"/>
    <w:rsid w:val="00FA7DAC"/>
    <w:rsid w:val="00FA7EF5"/>
    <w:rsid w:val="00FB2F62"/>
    <w:rsid w:val="00FB489C"/>
    <w:rsid w:val="00FB5420"/>
    <w:rsid w:val="00FB5DEE"/>
    <w:rsid w:val="00FB6ED4"/>
    <w:rsid w:val="00FB717F"/>
    <w:rsid w:val="00FB7ADC"/>
    <w:rsid w:val="00FB7EFE"/>
    <w:rsid w:val="00FC04B8"/>
    <w:rsid w:val="00FC075D"/>
    <w:rsid w:val="00FC0EC9"/>
    <w:rsid w:val="00FC157F"/>
    <w:rsid w:val="00FC1E16"/>
    <w:rsid w:val="00FC1FB7"/>
    <w:rsid w:val="00FC231B"/>
    <w:rsid w:val="00FC2763"/>
    <w:rsid w:val="00FC54A4"/>
    <w:rsid w:val="00FC610F"/>
    <w:rsid w:val="00FC68A4"/>
    <w:rsid w:val="00FC71C2"/>
    <w:rsid w:val="00FD02AB"/>
    <w:rsid w:val="00FD073A"/>
    <w:rsid w:val="00FD0C2B"/>
    <w:rsid w:val="00FD155B"/>
    <w:rsid w:val="00FD3034"/>
    <w:rsid w:val="00FD34DE"/>
    <w:rsid w:val="00FD37BA"/>
    <w:rsid w:val="00FD3A22"/>
    <w:rsid w:val="00FD3D59"/>
    <w:rsid w:val="00FD5AA0"/>
    <w:rsid w:val="00FD5B20"/>
    <w:rsid w:val="00FD6593"/>
    <w:rsid w:val="00FD6A6E"/>
    <w:rsid w:val="00FD73E2"/>
    <w:rsid w:val="00FE0A99"/>
    <w:rsid w:val="00FE294A"/>
    <w:rsid w:val="00FE4E7B"/>
    <w:rsid w:val="00FE4EF4"/>
    <w:rsid w:val="00FE5230"/>
    <w:rsid w:val="00FE7DA5"/>
    <w:rsid w:val="00FF2A59"/>
    <w:rsid w:val="00FF2F22"/>
    <w:rsid w:val="00FF37DC"/>
    <w:rsid w:val="00FF611B"/>
    <w:rsid w:val="00FF68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1958"/>
  <w15:chartTrackingRefBased/>
  <w15:docId w15:val="{22EC877A-4CD1-7F49-91D6-CE2906B0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4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8F0D-EEC6-6542-97F9-54EEFD67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15978</Words>
  <Characters>91079</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2025-01-15T04:42:00Z</dcterms:created>
  <dcterms:modified xsi:type="dcterms:W3CDTF">2025-01-15T05:15:00Z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http://www.zotero.org/styles/acta-anaesthesiologica-scandinavica</vt:lpwstr>
  </property>
  <property fmtid="{D5CDD505-2E9C-101B-9397-08002B2CF9AE}" pid="3" name="Mendeley Recent Style Name 0_1">
    <vt:lpwstr>Acta Anaesthesiologica Scandinavica</vt:lpwstr>
  </property>
  <property fmtid="{D5CDD505-2E9C-101B-9397-08002B2CF9AE}" pid="4" name="Mendeley Recent Style Id 1_1">
    <vt:lpwstr>http://www.zotero.org/styles/acta-radiologica</vt:lpwstr>
  </property>
  <property fmtid="{D5CDD505-2E9C-101B-9397-08002B2CF9AE}" pid="5" name="Mendeley Recent Style Name 1_1">
    <vt:lpwstr>Acta Radiologica</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vt:lpwstr>
  </property>
  <property fmtid="{D5CDD505-2E9C-101B-9397-08002B2CF9AE}" pid="8" name="Mendeley Recent Style Id 3_1">
    <vt:lpwstr>http://www.zotero.org/styles/biomarkers-in-medicine</vt:lpwstr>
  </property>
  <property fmtid="{D5CDD505-2E9C-101B-9397-08002B2CF9AE}" pid="9" name="Mendeley Recent Style Name 3_1">
    <vt:lpwstr>Biomarkers in Medicine</vt:lpwstr>
  </property>
  <property fmtid="{D5CDD505-2E9C-101B-9397-08002B2CF9AE}" pid="10" name="Mendeley Recent Style Id 4_1">
    <vt:lpwstr>http://www.zotero.org/styles/cancer-epidemiology</vt:lpwstr>
  </property>
  <property fmtid="{D5CDD505-2E9C-101B-9397-08002B2CF9AE}" pid="11" name="Mendeley Recent Style Name 4_1">
    <vt:lpwstr>Cancer Epidemiology</vt:lpwstr>
  </property>
  <property fmtid="{D5CDD505-2E9C-101B-9397-08002B2CF9AE}" pid="12" name="Mendeley Recent Style Id 5_1">
    <vt:lpwstr>http://www.zotero.org/styles/cerebrovascular-diseases</vt:lpwstr>
  </property>
  <property fmtid="{D5CDD505-2E9C-101B-9397-08002B2CF9AE}" pid="13" name="Mendeley Recent Style Name 5_1">
    <vt:lpwstr>Cerebrovascular Diseases</vt:lpwstr>
  </property>
  <property fmtid="{D5CDD505-2E9C-101B-9397-08002B2CF9AE}" pid="14" name="Mendeley Recent Style Id 6_1">
    <vt:lpwstr>http://www.zotero.org/styles/frontiers-in-neurology</vt:lpwstr>
  </property>
  <property fmtid="{D5CDD505-2E9C-101B-9397-08002B2CF9AE}" pid="15" name="Mendeley Recent Style Name 6_1">
    <vt:lpwstr>Frontiers in Neurology</vt:lpwstr>
  </property>
  <property fmtid="{D5CDD505-2E9C-101B-9397-08002B2CF9AE}" pid="16" name="Mendeley Recent Style Id 7_1">
    <vt:lpwstr>http://www.zotero.org/styles/journal-of-cancer-research-and-clinical-oncology</vt:lpwstr>
  </property>
  <property fmtid="{D5CDD505-2E9C-101B-9397-08002B2CF9AE}" pid="17" name="Mendeley Recent Style Name 7_1">
    <vt:lpwstr>Journal of Cancer Research and Clinical Oncology</vt:lpwstr>
  </property>
  <property fmtid="{D5CDD505-2E9C-101B-9397-08002B2CF9AE}" pid="18" name="Mendeley Recent Style Id 8_1">
    <vt:lpwstr>http://www.zotero.org/styles/journal-of-maxillofacial-and-oral-surgery</vt:lpwstr>
  </property>
  <property fmtid="{D5CDD505-2E9C-101B-9397-08002B2CF9AE}" pid="19" name="Mendeley Recent Style Name 8_1">
    <vt:lpwstr>Journal of Maxillofacial and Oral Surgery</vt:lpwstr>
  </property>
  <property fmtid="{D5CDD505-2E9C-101B-9397-08002B2CF9AE}" pid="20" name="Mendeley Recent Style Id 9_1">
    <vt:lpwstr>http://www.zotero.org/styles/plos-one</vt:lpwstr>
  </property>
  <property fmtid="{D5CDD505-2E9C-101B-9397-08002B2CF9AE}" pid="21" name="Mendeley Recent Style Name 9_1">
    <vt:lpwstr>PLOS ONE</vt:lpwstr>
  </property>
  <property fmtid="{D5CDD505-2E9C-101B-9397-08002B2CF9AE}" pid="22" name="Mendeley Document_1">
    <vt:lpwstr>True</vt:lpwstr>
  </property>
  <property fmtid="{D5CDD505-2E9C-101B-9397-08002B2CF9AE}" pid="23" name="Mendeley Unique User Id_1">
    <vt:lpwstr>fbaf9adb-edd7-35af-bd33-a9769909c46c</vt:lpwstr>
  </property>
  <property fmtid="{D5CDD505-2E9C-101B-9397-08002B2CF9AE}" pid="24" name="Mendeley Citation Style_1">
    <vt:lpwstr>http://www.zotero.org/styles/cerebrovascular-diseases</vt:lpwstr>
  </property>
</Properties>
</file>