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vertAnchor="text" w:horzAnchor="margin" w:tblpY="-403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1227"/>
        <w:gridCol w:w="1468"/>
        <w:gridCol w:w="1553"/>
        <w:gridCol w:w="1417"/>
        <w:gridCol w:w="1440"/>
        <w:gridCol w:w="1440"/>
        <w:gridCol w:w="1440"/>
        <w:gridCol w:w="1922"/>
        <w:gridCol w:w="1701"/>
      </w:tblGrid>
      <w:tr w:rsidR="00D10EED" w:rsidRPr="006210D2" w14:paraId="3164FA88" w14:textId="77777777" w:rsidTr="00361213">
        <w:trPr>
          <w:trHeight w:hRule="exact" w:val="597"/>
        </w:trPr>
        <w:tc>
          <w:tcPr>
            <w:tcW w:w="136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17F6D5" w14:textId="6651498C" w:rsidR="00D10EED" w:rsidRPr="00115490" w:rsidRDefault="00D10EED" w:rsidP="003E18BA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5490">
              <w:rPr>
                <w:rFonts w:asciiTheme="majorBidi" w:hAnsiTheme="majorBidi" w:cstheme="majorBidi"/>
                <w:b/>
                <w:bCs/>
                <w:lang w:val="en-US"/>
              </w:rPr>
              <w:t xml:space="preserve">Table 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5</w:t>
            </w:r>
            <w:r w:rsidRPr="00115490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115490">
              <w:rPr>
                <w:rFonts w:asciiTheme="majorBidi" w:hAnsiTheme="majorBidi" w:cstheme="majorBidi"/>
                <w:lang w:val="en-US"/>
              </w:rPr>
              <w:t>Impact of activated biochar amendment in soil on three maize hybrids</w:t>
            </w:r>
            <w:r w:rsidR="006210D2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115490">
              <w:rPr>
                <w:rFonts w:asciiTheme="majorBidi" w:hAnsiTheme="majorBidi" w:cstheme="majorBidi"/>
                <w:lang w:val="en-US"/>
              </w:rPr>
              <w:t>plant height, leaf area at vegetative, tasseling, and maturity stage and grain fresh weight and grain dry weight at maturity stage under FI, PDI, and SDI.</w:t>
            </w:r>
          </w:p>
        </w:tc>
      </w:tr>
      <w:tr w:rsidR="00D10EED" w14:paraId="2DCF7E2A" w14:textId="77777777" w:rsidTr="005B76D7">
        <w:trPr>
          <w:trHeight w:hRule="exact" w:val="340"/>
        </w:trPr>
        <w:tc>
          <w:tcPr>
            <w:tcW w:w="122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9EC133E" w14:textId="77777777" w:rsidR="00D10EED" w:rsidRDefault="00D10EED" w:rsidP="003E18BA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Treatment</w:t>
            </w:r>
          </w:p>
        </w:tc>
        <w:tc>
          <w:tcPr>
            <w:tcW w:w="44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F48D97" w14:textId="6B07A8B2" w:rsidR="00D10EED" w:rsidRPr="005B76D7" w:rsidRDefault="00D10EED" w:rsidP="005B76D7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Plant height</w:t>
            </w:r>
            <w:r w:rsidR="005B76D7">
              <w:rPr>
                <w:rFonts w:asciiTheme="majorBidi" w:hAnsiTheme="majorBidi" w:cstheme="majorBidi"/>
                <w:b/>
                <w:color w:val="00000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000000"/>
              </w:rPr>
              <w:t>(cm)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2C5A6" w14:textId="1F170C1F" w:rsidR="00D10EED" w:rsidRDefault="00D10EED" w:rsidP="005B76D7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Leaf area</w:t>
            </w:r>
            <w:r w:rsidR="005B76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(cm)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6564D9" w14:textId="4BF371F3" w:rsidR="00D10EED" w:rsidRDefault="00D10EED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Grain fresh Wt</w:t>
            </w:r>
            <w:r w:rsidR="005B76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(g)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ADA8FE7" w14:textId="77777777" w:rsidR="00D10EED" w:rsidRDefault="00D10EED" w:rsidP="003E18B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Grain dry Wt (g)</w:t>
            </w:r>
          </w:p>
        </w:tc>
      </w:tr>
      <w:tr w:rsidR="00D10EED" w14:paraId="05FE7FFA" w14:textId="77777777" w:rsidTr="005B76D7">
        <w:trPr>
          <w:trHeight w:hRule="exact" w:val="568"/>
        </w:trPr>
        <w:tc>
          <w:tcPr>
            <w:tcW w:w="12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C27E4CE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817A9D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 xml:space="preserve">Vegetative stage 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49D9B1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 xml:space="preserve">Tasseling stage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10A22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 xml:space="preserve">Maturity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5E81FC" w14:textId="77777777" w:rsidR="00D10EED" w:rsidRDefault="00D10EED" w:rsidP="003E18BA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Vegetative stage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AD6CE6" w14:textId="77777777" w:rsidR="00D10EED" w:rsidRDefault="00D10EED" w:rsidP="003E18BA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Tasseling stage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3790E9" w14:textId="77777777" w:rsidR="00D10EED" w:rsidRDefault="00D10EED" w:rsidP="003E18BA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Maturity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BF474A" w14:textId="77777777" w:rsidR="00D10EED" w:rsidRDefault="00D10EED" w:rsidP="003E18BA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Maturity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E1E931C" w14:textId="77777777" w:rsidR="00D10EED" w:rsidRDefault="00D10EED" w:rsidP="003E18BA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Maturity</w:t>
            </w:r>
          </w:p>
        </w:tc>
      </w:tr>
      <w:tr w:rsidR="00D10EED" w14:paraId="45A77621" w14:textId="77777777" w:rsidTr="005B76D7">
        <w:trPr>
          <w:trHeight w:hRule="exact" w:val="259"/>
        </w:trPr>
        <w:tc>
          <w:tcPr>
            <w:tcW w:w="12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805564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V1A0F1</w:t>
            </w:r>
          </w:p>
        </w:tc>
        <w:tc>
          <w:tcPr>
            <w:tcW w:w="14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58A050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96.4±1.09 mn</w:t>
            </w:r>
          </w:p>
        </w:tc>
        <w:tc>
          <w:tcPr>
            <w:tcW w:w="15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0B05B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253.5±1.11 ij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E7F3FD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298.5±1.45 b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87D999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131.5±1.77 s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B38E4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367.7±11.7 1j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65655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877.9± 1.6 fg</w:t>
            </w:r>
          </w:p>
        </w:tc>
        <w:tc>
          <w:tcPr>
            <w:tcW w:w="19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EDEC5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51.63± 0.98 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907363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29.1±0.11 i</w:t>
            </w:r>
          </w:p>
        </w:tc>
      </w:tr>
      <w:tr w:rsidR="00D10EED" w14:paraId="1315716A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46BAFAC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V1A0PDI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723F3199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76.4±2.64 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D5EABC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242.2±1.02 kl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F19CA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283.1±1.04 jk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12BF8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124.2±0.77 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498ABD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336.1± 2.06 lm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5C241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853.4±1.06 hi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76E15F5E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44.02±1.56 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149142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14.2±1.20 lm</w:t>
            </w:r>
          </w:p>
        </w:tc>
      </w:tr>
      <w:tr w:rsidR="00D10EED" w14:paraId="5ED0C4D6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38AC9A38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V1A0SDI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50A51E59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54.9±1.27 p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98A2B8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216.0±2.86 q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B4A2C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248.4±1.77 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D6544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116.3±1.05 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6B546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316.9±2.91 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91A08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802.8±1.85 mn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EC81BDB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16.28± 0.92 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E17EF8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6.23±0.55 m</w:t>
            </w:r>
          </w:p>
        </w:tc>
      </w:tr>
      <w:tr w:rsidR="00D10EED" w14:paraId="45385672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A1C304B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V1A1FI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76756BF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125.4±1.03 gh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1BB977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277.4±2.15 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AF1EB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307.9±1.24 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3AA5A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165.5±0.88 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F0E61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407.7±1.65 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B7903D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884.2±1.07 ij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6625617B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74.60±1.82 kl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19860C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34.1±0.78 g</w:t>
            </w:r>
          </w:p>
        </w:tc>
      </w:tr>
      <w:tr w:rsidR="00D10EED" w14:paraId="20860ECA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D593652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V1A1PDI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0285B8A4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109.5±1.43 k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F091EAD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266.5±2.74 gh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EACE6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286.5±2.03 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FD4A6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146.3±0.88 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1CAE3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397.9±2.06 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54F2A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860.1±0.91h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DEE267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54.13± 1.0 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45B038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25.6±1.59 jk</w:t>
            </w:r>
          </w:p>
        </w:tc>
      </w:tr>
      <w:tr w:rsidR="00D10EED" w14:paraId="6D602B9D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51F228EF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V1A1SDI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5219329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93.2±1.35 mn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BB6958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234.2±1.28 l-n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946C7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257.5±0.95 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11B8B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134.3±2.0 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E83A1E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376.6±1.48 ij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0A717B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824.8±0.91k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78B05AB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35.87±1.83 q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941E6E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13.3±0.66 m</w:t>
            </w:r>
          </w:p>
        </w:tc>
      </w:tr>
      <w:tr w:rsidR="00D10EED" w14:paraId="3B32AAB1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D761515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V1A2F1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56138199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186.3±1.12 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55FA28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296.5±2.14 bc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EBB82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340.3±1.93 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040A6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178.2±0.95 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0FFCA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427.7±1.56 fg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5C024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898.0±0.99 d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70CF8048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118.60± 0.95 gh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792FFB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48.5±1.29 e</w:t>
            </w:r>
          </w:p>
        </w:tc>
      </w:tr>
      <w:tr w:rsidR="00D10EED" w14:paraId="21B1802E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1CB2178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V1A2PDI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08CFB1EB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112.4±1.52 jk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2E93620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279.5±1.66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CE347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327.1±0.73 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C017C4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172.8±1.53 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5CA62D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412.7± 0.99 gh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5FDC73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872.8±1.55g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0198E1ED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67.7±1.55 mn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1FF2C6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35.3±1.27 g</w:t>
            </w:r>
          </w:p>
        </w:tc>
      </w:tr>
      <w:tr w:rsidR="00D10EED" w14:paraId="50062975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318F3962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V1A2SDI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5E9921D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97.8±1.72 lm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3B33820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245.5±2.52 jk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7CFE5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321.3±0.86 fg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370E5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168.1±1.57 pq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2E612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402±0.9 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51A91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844.7± 1.03 ij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1BD10A10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76.7±0.99 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7BC375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28.3±1.42 ij</w:t>
            </w:r>
          </w:p>
        </w:tc>
      </w:tr>
      <w:tr w:rsidR="00D10EED" w14:paraId="5DBFE59C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771520F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V2A0F1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7165DA2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116.6±1.21 ij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B6EAF5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232.6±2.33 m-o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492D5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318.4±1.81g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5C436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271.8±1.00 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91E0F8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394.1±1.64 hi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703FD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819.2±0.97 kl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704D17D4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82.4±0.58 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98173A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33.2±0.69 gh</w:t>
            </w:r>
          </w:p>
        </w:tc>
      </w:tr>
      <w:tr w:rsidR="00D10EED" w14:paraId="22CC0B2D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5D86DD6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V2A0PDI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7AFA6E40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102.3±2.08 l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464805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224.1±1.30 o-q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9C637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251.7± 1.04 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9FDE29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268.2±1.29 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1AAB40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372.7± 1.96 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28A6B8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802.3±0.98 mn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1490AD0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68.6±0.61 mn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4B74C9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17.2±1.53 l</w:t>
            </w:r>
          </w:p>
        </w:tc>
      </w:tr>
      <w:tr w:rsidR="00D10EED" w14:paraId="2509E7A0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8D5941E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V2A0SDI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04A0036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92.3±0.77 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9AFBC0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218.3±0.88 p-q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CDD73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248.2± 1.04 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C68EC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254.6±1.38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5F754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361.0± 0.99 jk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23059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797.5±1.47 n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3F9AB27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43.3±1.045 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BE8BE7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11.1±1.0 m</w:t>
            </w:r>
          </w:p>
        </w:tc>
      </w:tr>
      <w:tr w:rsidR="00D10EED" w14:paraId="459F6B2B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8079C47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V2A1FI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2702F748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126.2±2.03gh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7D5546E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244.6±2.29 jk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14E08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327.8±1.91e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F7138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296.9±1.20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B421FE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462.3± 0.85 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88D6DB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874.6±1.28 fg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FA7514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133.2±1.063 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E5A95F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77.8±1.59 c</w:t>
            </w:r>
          </w:p>
        </w:tc>
      </w:tr>
      <w:tr w:rsidR="00D10EED" w14:paraId="4EF97393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FDF194E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V2A1PDI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7CDA802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120.3±0.86 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573488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237.4±0.43 k-m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B38179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278.7±2.86 kl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7ACB8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286.9±2.03 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DF12AD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442.5± 0.68 ef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DC2A6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826.9±2.68 k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015363B3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118.4±1.22 gh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24846E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48.5±1.28 e</w:t>
            </w:r>
          </w:p>
        </w:tc>
      </w:tr>
      <w:tr w:rsidR="00D10EED" w14:paraId="5D45A248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52D3A28C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V2A1SDI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1C0FAE0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93.2±1.61 mn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093FBDE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227.1±2.35 n-p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32256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275.4±2.39 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D1AB4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276.5±2.10 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A46184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429.3± 0.86 fg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3DCA9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816.9±1.93 kl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3A90C65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64.8±1.74 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15AAC8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22.7±0.80 k</w:t>
            </w:r>
          </w:p>
        </w:tc>
      </w:tr>
      <w:tr w:rsidR="00D10EED" w14:paraId="4B71D00F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536F8603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V2A2F1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78750378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141.3±1.11 cd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C12FF64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298.5±0.97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DC6F4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346.9±1.67 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A5C95E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318.5± 0.9 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2AD51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551.3±1.01 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3CD6AE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921.5±1.71 b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50047B18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125.5±1.27 ef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F3362A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84.4±1.05 b</w:t>
            </w:r>
          </w:p>
        </w:tc>
      </w:tr>
      <w:tr w:rsidR="00D10EED" w14:paraId="6C517AE9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847B161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V2A2PDI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216CBF9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137.1±2.26 de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3FEC62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270±2.34 fg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052FF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339.9±1.67 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0D25F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311.3± 0.94 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764068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527.7±1.53 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91C12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893.1±1.67 de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EABDA3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94.2±0.96 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E07E14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52.6±2.21 d</w:t>
            </w:r>
          </w:p>
        </w:tc>
      </w:tr>
      <w:tr w:rsidR="00D10EED" w14:paraId="2EFA35B0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CE53EF3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V2A2SDI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51AC9EF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127.5±3.07 fg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65AFD0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257.6±1.1 hi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AB2368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282.1±1.04 jk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7A2964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302.6±1.78 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92CEA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518.6±1.41 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0E90BD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883.8± 0.98 ef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04D3AC1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78.5±0.83 jk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7D5A33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28.4±1.01 ij</w:t>
            </w:r>
          </w:p>
        </w:tc>
      </w:tr>
      <w:tr w:rsidR="00D10EED" w14:paraId="614FAADA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FEA6EA3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V3A0F1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6FA34AE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121.5±1.81 hi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67DDBD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252.6±0.97ij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6758B8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324.1±1.84 ef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C3324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293.0±1.93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6BD649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457.1±1.53 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086CDB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837.8±1.21 j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0D45128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96.6±2.55 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E5BB50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30.6±1.68 hi</w:t>
            </w:r>
          </w:p>
        </w:tc>
      </w:tr>
      <w:tr w:rsidR="00D10EED" w14:paraId="59F5385D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85A4F47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V3A0PDI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4BA027B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116.7±3.23 ij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A2077E9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241.7±0.92 k-m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A51D1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320.6±0.78 fg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5976A3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262.7±1.16 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29140B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367.5±1.11 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F2D91E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819.6± 0.77kl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5B8015A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71.0± 0.95 lm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CCC6D8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28.1±1.05 ij</w:t>
            </w:r>
          </w:p>
        </w:tc>
      </w:tr>
      <w:tr w:rsidR="00D10EED" w14:paraId="1B646921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F803734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V3A0SDI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64D2A38D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109.7±1.11 k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FD9340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238.4 ±0.82 k-m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AD1E1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294.7±1.15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696C97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256.4±1.24 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77DB2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344.5±1.27 kl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207D8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810.4±1.11lm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B7B992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28.4±1.39 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AE439B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13.3±0.59 m</w:t>
            </w:r>
          </w:p>
        </w:tc>
      </w:tr>
      <w:tr w:rsidR="00D10EED" w14:paraId="1513AFFF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7621C5F7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V3A1F1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08B490A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142.8± 2.04 c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21E8E05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287.9±1.29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3B1B80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342.6±1.42 bc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9AD47E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346.7±1.52 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D6BB30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489.5±1.24 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D8235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908.7±1.13 c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3BD080AB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152.2±1.27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E50593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55.6±1.02 d</w:t>
            </w:r>
          </w:p>
        </w:tc>
      </w:tr>
      <w:tr w:rsidR="00D10EED" w14:paraId="42B3D215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F538A14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V3A1PDI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32E4DCD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127.4±2.07 fg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0F8C0BB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273.89±1.95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06883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332.4±1.05 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A5A93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336.4±1.32 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594BAA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442.6± 0.93 ef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B8AAC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892.5± 0.98 de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6C7D3F7B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129.1±1.04 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F936B1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44.9±10.6 f</w:t>
            </w:r>
          </w:p>
        </w:tc>
      </w:tr>
      <w:tr w:rsidR="00D10EED" w14:paraId="13F0C683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78F48CC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V3A1SDI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1EE8736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118.0±2.09 i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6A11B13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266.6±1.32 gh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98991E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324.6±1.40 ef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36FF58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327.8±1.91e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EEBF1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440.3±1.03 ef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25B351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872.8±1.22 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5D5CFBDF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113.8± 2.08 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3784DC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22.6±1.07 k</w:t>
            </w:r>
          </w:p>
        </w:tc>
      </w:tr>
      <w:tr w:rsidR="00D10EED" w14:paraId="6EE5FAE0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6FC5A39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V3A2F1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6A1DECE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151.1±0.85 b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9159270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308.3±1.16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9FA19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352.7±0.93 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06DB98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362.1±1.42 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2349D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570.2± 0.69 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D454A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933.9±1.654 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70BFA609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198.5±1.05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51A9A6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87.9±1.24 a</w:t>
            </w:r>
          </w:p>
        </w:tc>
      </w:tr>
      <w:tr w:rsidR="00D10EED" w14:paraId="34A4A5AE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7D65EB7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V3A2PDI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45FC35E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145.4±2.49 c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7AD7559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295.2±1.27 bc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7BD6A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346.4±1.03 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E5F61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357.4±1.56 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1DD59F" w14:textId="77777777" w:rsidR="00D10EED" w:rsidRDefault="00D10EED" w:rsidP="003E18BA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531.2±2.07 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9920BC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922.7±1.35 b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E899C5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173.5±0.76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3ECF53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47.9±1.57 ef</w:t>
            </w:r>
          </w:p>
        </w:tc>
      </w:tr>
      <w:tr w:rsidR="00D10EED" w14:paraId="42101699" w14:textId="77777777" w:rsidTr="005B76D7">
        <w:trPr>
          <w:trHeight w:hRule="exact" w:val="259"/>
        </w:trPr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74C7DF" w14:textId="77777777" w:rsidR="00D10EED" w:rsidRDefault="00D10EED" w:rsidP="003E18BA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V3A2SDI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2490AD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132.4±1.03 ef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CF0E7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290.6±1.20 bc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69FDD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309.7±0.90 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3BCD16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350±0.97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37B6BB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443.1±0.89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6A19F2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898±1.85 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72360D" w14:textId="77777777" w:rsidR="00D10EED" w:rsidRDefault="00D10EED" w:rsidP="003E18B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124.1±2.3 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906218" w14:textId="77777777" w:rsidR="00D10EED" w:rsidRDefault="00D10EED" w:rsidP="003E1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25.3±1.26 jk</w:t>
            </w:r>
          </w:p>
        </w:tc>
      </w:tr>
      <w:tr w:rsidR="00D10EED" w:rsidRPr="00507DE8" w14:paraId="7040697F" w14:textId="77777777" w:rsidTr="00507DE8">
        <w:trPr>
          <w:trHeight w:hRule="exact" w:val="1166"/>
        </w:trPr>
        <w:tc>
          <w:tcPr>
            <w:tcW w:w="1360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618B1A" w14:textId="77777777" w:rsidR="00507DE8" w:rsidRPr="00507DE8" w:rsidRDefault="00507DE8" w:rsidP="00507DE8">
            <w:pPr>
              <w:rPr>
                <w:rFonts w:asciiTheme="majorBidi" w:hAnsiTheme="majorBidi" w:cstheme="majorBidi"/>
                <w:lang w:val="en-PK"/>
              </w:rPr>
            </w:pPr>
            <w:r w:rsidRPr="00507DE8">
              <w:rPr>
                <w:rFonts w:asciiTheme="majorBidi" w:hAnsiTheme="majorBidi" w:cstheme="majorBidi"/>
                <w:lang w:val="en-PK"/>
              </w:rPr>
              <w:lastRenderedPageBreak/>
              <w:t>Different lowercase letter assessed by 3-way ANOVA of biochar rates, irrigation levels and maize hybrids indicates level of significance at 95% confidence interval. Means sharing different letters have significant differences at </w:t>
            </w:r>
            <w:r w:rsidRPr="00507DE8">
              <w:rPr>
                <w:rFonts w:asciiTheme="majorBidi" w:hAnsiTheme="majorBidi" w:cstheme="majorBidi"/>
                <w:i/>
                <w:iCs/>
                <w:lang w:val="en-PK"/>
              </w:rPr>
              <w:t>P</w:t>
            </w:r>
            <w:r w:rsidRPr="00507DE8">
              <w:rPr>
                <w:rFonts w:asciiTheme="majorBidi" w:hAnsiTheme="majorBidi" w:cstheme="majorBidi"/>
                <w:lang w:val="en-PK"/>
              </w:rPr>
              <w:t> &lt; 0.05%.</w:t>
            </w:r>
          </w:p>
          <w:p w14:paraId="212215E6" w14:textId="77777777" w:rsidR="00507DE8" w:rsidRPr="00507DE8" w:rsidRDefault="00507DE8" w:rsidP="00507DE8">
            <w:pPr>
              <w:rPr>
                <w:rFonts w:asciiTheme="majorBidi" w:hAnsiTheme="majorBidi" w:cstheme="majorBidi"/>
                <w:lang w:val="en-PK"/>
              </w:rPr>
            </w:pPr>
            <w:r w:rsidRPr="00507DE8">
              <w:rPr>
                <w:rFonts w:asciiTheme="majorBidi" w:hAnsiTheme="majorBidi" w:cstheme="majorBidi"/>
                <w:lang w:val="en-PK"/>
              </w:rPr>
              <w:t>0 tons ha −1 (A0), 5 tons ha −1 (A1), 10 tons ha −1 (A2) of activated biochar</w:t>
            </w:r>
          </w:p>
          <w:p w14:paraId="33AEEDE6" w14:textId="77777777" w:rsidR="00507DE8" w:rsidRPr="00507DE8" w:rsidRDefault="00507DE8" w:rsidP="00507DE8">
            <w:pPr>
              <w:rPr>
                <w:rFonts w:asciiTheme="majorBidi" w:hAnsiTheme="majorBidi" w:cstheme="majorBidi"/>
                <w:lang w:val="en-PK"/>
              </w:rPr>
            </w:pPr>
            <w:r w:rsidRPr="00507DE8">
              <w:rPr>
                <w:rFonts w:asciiTheme="majorBidi" w:hAnsiTheme="majorBidi" w:cstheme="majorBidi"/>
                <w:lang w:val="en-PK"/>
              </w:rPr>
              <w:t>Full irrigation (FI), partially deficit irrigation (PDI), and severely deficit irrigation (SDI)</w:t>
            </w:r>
          </w:p>
          <w:p w14:paraId="7E3FCA4A" w14:textId="7AC251BB" w:rsidR="00D10EED" w:rsidRPr="00507DE8" w:rsidRDefault="00D10EED" w:rsidP="003E18BA">
            <w:pPr>
              <w:rPr>
                <w:rFonts w:asciiTheme="majorBidi" w:hAnsiTheme="majorBidi" w:cstheme="majorBidi"/>
                <w:lang w:val="en-PK"/>
              </w:rPr>
            </w:pPr>
          </w:p>
        </w:tc>
      </w:tr>
    </w:tbl>
    <w:p w14:paraId="505976F2" w14:textId="77777777" w:rsidR="00D10EED" w:rsidRPr="005B76D7" w:rsidRDefault="00D10EED">
      <w:pPr>
        <w:rPr>
          <w:lang w:val="en-US"/>
        </w:rPr>
      </w:pPr>
    </w:p>
    <w:sectPr w:rsidR="00D10EED" w:rsidRPr="005B76D7" w:rsidSect="00D10E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ED"/>
    <w:rsid w:val="0009466B"/>
    <w:rsid w:val="00307887"/>
    <w:rsid w:val="00361213"/>
    <w:rsid w:val="00465F22"/>
    <w:rsid w:val="00507DE8"/>
    <w:rsid w:val="005B76D7"/>
    <w:rsid w:val="006210D2"/>
    <w:rsid w:val="0086739E"/>
    <w:rsid w:val="00AA27C6"/>
    <w:rsid w:val="00D10EED"/>
    <w:rsid w:val="00F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081C"/>
  <w15:chartTrackingRefBased/>
  <w15:docId w15:val="{C095DDC6-1165-4CEE-9C03-072FB91A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ED"/>
    <w:pPr>
      <w:spacing w:after="0" w:line="240" w:lineRule="auto"/>
    </w:pPr>
    <w:rPr>
      <w:rFonts w:ascii="Times New Roman" w:eastAsia="Times New Roman" w:hAnsi="Times New Roman" w:cs="Times New Roman"/>
      <w:kern w:val="0"/>
      <w:lang w:val="zh-C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E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PK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E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PK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E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PK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E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PK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E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PK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E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PK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E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PK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E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PK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E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PK" w:eastAsia="zh-C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E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E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E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K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E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PK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0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EE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PK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0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EE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PK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0E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PK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E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EE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qFormat/>
    <w:rsid w:val="00D10EE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3325</Characters>
  <Application>Microsoft Office Word</Application>
  <DocSecurity>0</DocSecurity>
  <Lines>255</Lines>
  <Paragraphs>246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Summera Jahan</dc:creator>
  <cp:keywords/>
  <dc:description/>
  <cp:lastModifiedBy>Summera Jahan</cp:lastModifiedBy>
  <cp:revision>9</cp:revision>
  <dcterms:created xsi:type="dcterms:W3CDTF">2025-02-03T04:42:00Z</dcterms:created>
  <dcterms:modified xsi:type="dcterms:W3CDTF">2025-02-14T11:30:00Z</dcterms:modified>
</cp:coreProperties>
</file>