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03"/>
        <w:tblW w:w="0" w:type="auto"/>
        <w:tblLook w:val="04A0" w:firstRow="1" w:lastRow="0" w:firstColumn="1" w:lastColumn="0" w:noHBand="0" w:noVBand="1"/>
      </w:tblPr>
      <w:tblGrid>
        <w:gridCol w:w="1487"/>
        <w:gridCol w:w="829"/>
        <w:gridCol w:w="778"/>
        <w:gridCol w:w="778"/>
        <w:gridCol w:w="1151"/>
        <w:gridCol w:w="778"/>
        <w:gridCol w:w="694"/>
        <w:gridCol w:w="834"/>
        <w:gridCol w:w="1341"/>
      </w:tblGrid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Variable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x₍ᵢⱼ₎ (raw)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x̄ⱼ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sⱼ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z₍ᵢⱼ₎ = (x₍ᵢⱼ₎–x̄ⱼ)/sⱼ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Lⱼ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Dⱼ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Cⱼ = Lⱼ×Dⱼ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Contribution = Cⱼ×z₍ᵢⱼ₎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Coral cover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45.0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30.0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10.0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1.50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2.10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+4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8.40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12.60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CCA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5.0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3.0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1.0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2.00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1.50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+2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3.00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6.00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Turf algae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20.0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25.0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5.0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–1.00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1.80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–3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–5.40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5.40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Cyanobacteria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2.0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4.0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1.0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–2.00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1.20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–2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–2.40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4.80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Bleaching prevalence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10.0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15.0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5.0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–1.00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2.00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–2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–4.00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4.00</w:t>
            </w:r>
          </w:p>
        </w:tc>
      </w:tr>
      <w:tr w:rsidR="00E65A44" w:rsidRPr="00015BCE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Shannon diversity</w:t>
            </w:r>
          </w:p>
        </w:tc>
        <w:tc>
          <w:tcPr>
            <w:tcW w:w="829" w:type="dxa"/>
          </w:tcPr>
          <w:p w:rsidR="00E65A44" w:rsidRPr="00015BCE" w:rsidRDefault="00E65A44" w:rsidP="00837DD3">
            <w:r w:rsidRPr="00015BCE">
              <w:t>1.8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1.2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0.3</w:t>
            </w:r>
          </w:p>
        </w:tc>
        <w:tc>
          <w:tcPr>
            <w:tcW w:w="1151" w:type="dxa"/>
          </w:tcPr>
          <w:p w:rsidR="00E65A44" w:rsidRPr="00015BCE" w:rsidRDefault="00E65A44" w:rsidP="00837DD3">
            <w:r w:rsidRPr="00015BCE">
              <w:t>2.00</w:t>
            </w:r>
          </w:p>
        </w:tc>
        <w:tc>
          <w:tcPr>
            <w:tcW w:w="778" w:type="dxa"/>
          </w:tcPr>
          <w:p w:rsidR="00E65A44" w:rsidRPr="00015BCE" w:rsidRDefault="00E65A44" w:rsidP="00837DD3">
            <w:r w:rsidRPr="00015BCE">
              <w:t>2.40</w:t>
            </w:r>
          </w:p>
        </w:tc>
        <w:tc>
          <w:tcPr>
            <w:tcW w:w="694" w:type="dxa"/>
          </w:tcPr>
          <w:p w:rsidR="00E65A44" w:rsidRPr="00015BCE" w:rsidRDefault="00E65A44" w:rsidP="00837DD3">
            <w:r w:rsidRPr="00015BCE">
              <w:t>+2</w:t>
            </w:r>
          </w:p>
        </w:tc>
        <w:tc>
          <w:tcPr>
            <w:tcW w:w="834" w:type="dxa"/>
          </w:tcPr>
          <w:p w:rsidR="00E65A44" w:rsidRPr="00015BCE" w:rsidRDefault="00E65A44" w:rsidP="00837DD3">
            <w:r w:rsidRPr="00015BCE">
              <w:t>4.80</w:t>
            </w:r>
          </w:p>
        </w:tc>
        <w:tc>
          <w:tcPr>
            <w:tcW w:w="1341" w:type="dxa"/>
          </w:tcPr>
          <w:p w:rsidR="00E65A44" w:rsidRPr="00015BCE" w:rsidRDefault="00E65A44" w:rsidP="00837DD3">
            <w:r w:rsidRPr="00015BCE">
              <w:t>9.60</w:t>
            </w:r>
          </w:p>
        </w:tc>
      </w:tr>
      <w:tr w:rsidR="00E65A44" w:rsidRPr="008936D0" w:rsidTr="001934A6">
        <w:tc>
          <w:tcPr>
            <w:tcW w:w="1487" w:type="dxa"/>
          </w:tcPr>
          <w:p w:rsidR="00E65A44" w:rsidRPr="00015BCE" w:rsidRDefault="00E65A44" w:rsidP="00837DD3">
            <w:r w:rsidRPr="00015BCE">
              <w:t>**Raw ERFI**</w:t>
            </w:r>
          </w:p>
        </w:tc>
        <w:tc>
          <w:tcPr>
            <w:tcW w:w="829" w:type="dxa"/>
          </w:tcPr>
          <w:p w:rsidR="00E65A44" w:rsidRPr="00015BCE" w:rsidRDefault="00E65A44" w:rsidP="00837DD3"/>
        </w:tc>
        <w:tc>
          <w:tcPr>
            <w:tcW w:w="778" w:type="dxa"/>
          </w:tcPr>
          <w:p w:rsidR="00E65A44" w:rsidRPr="00015BCE" w:rsidRDefault="00E65A44" w:rsidP="00837DD3"/>
        </w:tc>
        <w:tc>
          <w:tcPr>
            <w:tcW w:w="778" w:type="dxa"/>
          </w:tcPr>
          <w:p w:rsidR="00E65A44" w:rsidRPr="00015BCE" w:rsidRDefault="00E65A44" w:rsidP="00837DD3"/>
        </w:tc>
        <w:tc>
          <w:tcPr>
            <w:tcW w:w="1151" w:type="dxa"/>
          </w:tcPr>
          <w:p w:rsidR="00E65A44" w:rsidRPr="008936D0" w:rsidRDefault="00E65A44" w:rsidP="00837DD3">
            <w:r w:rsidRPr="00015BCE">
              <w:t>**42.40**</w:t>
            </w:r>
          </w:p>
        </w:tc>
        <w:tc>
          <w:tcPr>
            <w:tcW w:w="778" w:type="dxa"/>
          </w:tcPr>
          <w:p w:rsidR="00E65A44" w:rsidRPr="008936D0" w:rsidRDefault="00E65A44" w:rsidP="00837DD3"/>
        </w:tc>
        <w:tc>
          <w:tcPr>
            <w:tcW w:w="694" w:type="dxa"/>
          </w:tcPr>
          <w:p w:rsidR="00E65A44" w:rsidRPr="008936D0" w:rsidRDefault="00E65A44" w:rsidP="00837DD3"/>
        </w:tc>
        <w:tc>
          <w:tcPr>
            <w:tcW w:w="834" w:type="dxa"/>
          </w:tcPr>
          <w:p w:rsidR="00E65A44" w:rsidRPr="008936D0" w:rsidRDefault="00E65A44" w:rsidP="00837DD3"/>
        </w:tc>
        <w:tc>
          <w:tcPr>
            <w:tcW w:w="1341" w:type="dxa"/>
          </w:tcPr>
          <w:p w:rsidR="00E65A44" w:rsidRPr="008936D0" w:rsidRDefault="00E65A44" w:rsidP="00837DD3"/>
        </w:tc>
      </w:tr>
    </w:tbl>
    <w:p w:rsidR="001934A6" w:rsidRPr="00B03F41" w:rsidRDefault="001934A6" w:rsidP="001934A6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 w:rsidRPr="00EF0B74">
        <w:rPr>
          <w:rStyle w:val="Strong"/>
          <w:rFonts w:eastAsiaTheme="majorEastAsia"/>
          <w:b w:val="0"/>
          <w:bCs w:val="0"/>
          <w:color w:val="000000"/>
        </w:rPr>
        <w:t>Table S3.</w:t>
      </w:r>
      <w:r>
        <w:rPr>
          <w:rStyle w:val="Strong"/>
          <w:rFonts w:eastAsiaTheme="majorEastAsia"/>
          <w:color w:val="000000"/>
        </w:rPr>
        <w:t xml:space="preserve"> </w:t>
      </w:r>
      <w:r w:rsidRPr="00015BCE">
        <w:rPr>
          <w:rStyle w:val="Strong"/>
          <w:rFonts w:eastAsiaTheme="majorEastAsia"/>
          <w:b w:val="0"/>
          <w:bCs w:val="0"/>
          <w:color w:val="000000"/>
        </w:rPr>
        <w:t>Worked example calculation of the Ecological Recovery Feasibility Index (ERFI).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Emphasis"/>
          <w:rFonts w:eastAsiaTheme="majorEastAsia"/>
          <w:color w:val="000000"/>
        </w:rPr>
        <w:t>Notes: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xij</w:t>
      </w:r>
      <w:proofErr w:type="spellEnd"/>
      <w:r>
        <w:rPr>
          <w:color w:val="000000"/>
        </w:rPr>
        <w:t>: Observed value of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at site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katex"/>
          <w:rFonts w:eastAsiaTheme="majorEastAsia"/>
          <w:color w:val="000000"/>
        </w:rPr>
        <w:t>i</w:t>
      </w:r>
      <w:proofErr w:type="spellEnd"/>
      <w:r>
        <w:rPr>
          <w:color w:val="000000"/>
        </w:rPr>
        <w:t>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r w:rsidRPr="00015BCE">
        <w:t>x̄</w:t>
      </w:r>
      <w:r>
        <w:rPr>
          <w:rStyle w:val="katex"/>
          <w:rFonts w:eastAsiaTheme="majorEastAsia"/>
          <w:color w:val="000000"/>
        </w:rPr>
        <w:t xml:space="preserve"> j</w:t>
      </w:r>
      <w:r>
        <w:rPr>
          <w:color w:val="000000"/>
        </w:rPr>
        <w:t>: Mean of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across all sites.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sj</w:t>
      </w:r>
      <w:proofErr w:type="spellEnd"/>
      <w:r>
        <w:rPr>
          <w:color w:val="000000"/>
        </w:rPr>
        <w:t>: Standard deviation of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across all sites.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zij</w:t>
      </w:r>
      <w:proofErr w:type="spellEnd"/>
      <w:r>
        <w:rPr>
          <w:rStyle w:val="katex"/>
          <w:rFonts w:eastAsiaTheme="majorEastAsia"/>
          <w:color w:val="000000"/>
        </w:rPr>
        <w:t>=(</w:t>
      </w:r>
      <w:proofErr w:type="spellStart"/>
      <w:r>
        <w:rPr>
          <w:rStyle w:val="katex"/>
          <w:rFonts w:eastAsiaTheme="majorEastAsia"/>
          <w:color w:val="000000"/>
        </w:rPr>
        <w:t>xij</w:t>
      </w:r>
      <w:proofErr w:type="spellEnd"/>
      <w:r>
        <w:rPr>
          <w:rStyle w:val="katex"/>
          <w:rFonts w:eastAsiaTheme="majorEastAsia"/>
          <w:color w:val="000000"/>
        </w:rPr>
        <w:t>−</w:t>
      </w:r>
      <w:r w:rsidRPr="00545B20">
        <w:t xml:space="preserve"> </w:t>
      </w:r>
      <w:r w:rsidRPr="00015BCE">
        <w:t>x̄</w:t>
      </w:r>
      <w:r>
        <w:rPr>
          <w:rStyle w:val="katex"/>
          <w:rFonts w:eastAsiaTheme="majorEastAsia"/>
          <w:color w:val="000000"/>
        </w:rPr>
        <w:t xml:space="preserve"> j)/</w:t>
      </w:r>
      <w:proofErr w:type="spellStart"/>
      <w:r>
        <w:rPr>
          <w:rStyle w:val="katex"/>
          <w:rFonts w:eastAsiaTheme="majorEastAsia"/>
          <w:color w:val="000000"/>
        </w:rPr>
        <w:t>sj</w:t>
      </w:r>
      <w:proofErr w:type="spellEnd"/>
      <w:r>
        <w:rPr>
          <w:color w:val="000000"/>
        </w:rPr>
        <w:t>: Standardized (z‐score) value.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ljk</w:t>
      </w:r>
      <w:proofErr w:type="spellEnd"/>
      <w:r>
        <w:rPr>
          <w:color w:val="000000"/>
        </w:rPr>
        <w:t>: Loading of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on principal component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k</w:t>
      </w:r>
      <w:r>
        <w:rPr>
          <w:color w:val="000000"/>
        </w:rPr>
        <w:t>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Lj</w:t>
      </w:r>
      <w:proofErr w:type="spellEnd"/>
      <w:r>
        <w:rPr>
          <w:rStyle w:val="katex"/>
          <w:rFonts w:eastAsiaTheme="majorEastAsia"/>
          <w:color w:val="000000"/>
        </w:rPr>
        <w:t>=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rStyle w:val="katex"/>
          <w:rFonts w:eastAsiaTheme="majorEastAsia"/>
          <w:color w:val="000000"/>
        </w:rPr>
        <w:t>lj1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rStyle w:val="katex"/>
          <w:rFonts w:eastAsiaTheme="majorEastAsia"/>
          <w:color w:val="000000"/>
        </w:rPr>
        <w:t>+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rStyle w:val="katex"/>
          <w:rFonts w:eastAsiaTheme="majorEastAsia"/>
          <w:color w:val="000000"/>
        </w:rPr>
        <w:t>lj2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rStyle w:val="katex"/>
          <w:rFonts w:eastAsiaTheme="majorEastAsia"/>
          <w:color w:val="000000"/>
        </w:rPr>
        <w:t>+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rStyle w:val="katex"/>
          <w:rFonts w:eastAsiaTheme="majorEastAsia"/>
          <w:color w:val="000000"/>
        </w:rPr>
        <w:t>lj3</w:t>
      </w:r>
      <w:r>
        <w:rPr>
          <w:rStyle w:val="katex"/>
          <w:rFonts w:ascii="Cambria Math" w:eastAsiaTheme="majorEastAsia" w:hAnsi="Cambria Math" w:cs="Cambria Math"/>
          <w:color w:val="000000"/>
        </w:rPr>
        <w:t>∣</w:t>
      </w:r>
      <w:r>
        <w:rPr>
          <w:color w:val="000000"/>
        </w:rPr>
        <w:t>: Sum of absolute loadings on PCs 1–3 (PCA‐derived weight).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Dj</w:t>
      </w:r>
      <w:proofErr w:type="spellEnd"/>
      <w:r>
        <w:rPr>
          <w:color w:val="000000"/>
        </w:rPr>
        <w:t>: Expert‐assigned direction weight for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(positive values promote recovery; negative values inhibit recovery).</w:t>
      </w:r>
    </w:p>
    <w:p w:rsidR="001934A6" w:rsidRPr="00545B20" w:rsidRDefault="001934A6" w:rsidP="001934A6">
      <w:pPr>
        <w:pStyle w:val="NormalWeb"/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proofErr w:type="spellStart"/>
      <w:r>
        <w:rPr>
          <w:rStyle w:val="katex"/>
          <w:rFonts w:eastAsiaTheme="majorEastAsia"/>
          <w:color w:val="000000"/>
        </w:rPr>
        <w:t>Cj</w:t>
      </w:r>
      <w:proofErr w:type="spellEnd"/>
      <w:r>
        <w:rPr>
          <w:rStyle w:val="katex"/>
          <w:rFonts w:eastAsiaTheme="majorEastAsia"/>
          <w:color w:val="000000"/>
        </w:rPr>
        <w:t>=</w:t>
      </w:r>
      <w:proofErr w:type="spellStart"/>
      <w:r>
        <w:rPr>
          <w:rStyle w:val="katex"/>
          <w:rFonts w:eastAsiaTheme="majorEastAsia"/>
          <w:color w:val="000000"/>
        </w:rPr>
        <w:t>Lj×Dj</w:t>
      </w:r>
      <w:proofErr w:type="spellEnd"/>
      <w:r>
        <w:rPr>
          <w:color w:val="000000"/>
        </w:rPr>
        <w:t>: Composite weight for variable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j</w:t>
      </w:r>
      <w:r>
        <w:rPr>
          <w:color w:val="000000"/>
        </w:rPr>
        <w:t>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color w:val="000000"/>
        </w:rPr>
      </w:pPr>
      <w:r w:rsidRPr="00545B20">
        <w:rPr>
          <w:rStyle w:val="Strong"/>
          <w:rFonts w:eastAsiaTheme="majorEastAsia"/>
          <w:b w:val="0"/>
          <w:bCs w:val="0"/>
          <w:color w:val="000000"/>
        </w:rPr>
        <w:t>Raw ERFI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for site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katex"/>
          <w:rFonts w:eastAsiaTheme="majorEastAsia"/>
          <w:color w:val="000000"/>
        </w:rPr>
        <w:t>i</w:t>
      </w:r>
      <w:proofErr w:type="spellEnd"/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katex"/>
          <w:rFonts w:eastAsiaTheme="majorEastAsia"/>
          <w:color w:val="000000"/>
        </w:rPr>
        <w:t>∑j(</w:t>
      </w:r>
      <w:proofErr w:type="spellStart"/>
      <w:r>
        <w:rPr>
          <w:rStyle w:val="katex"/>
          <w:rFonts w:eastAsiaTheme="majorEastAsia"/>
          <w:color w:val="000000"/>
        </w:rPr>
        <w:t>Cj×zij</w:t>
      </w:r>
      <w:proofErr w:type="spellEnd"/>
      <w:r>
        <w:rPr>
          <w:rStyle w:val="katex"/>
          <w:rFonts w:eastAsiaTheme="majorEastAsia"/>
          <w:color w:val="000000"/>
        </w:rPr>
        <w:t>)</w:t>
      </w:r>
      <w:r>
        <w:rPr>
          <w:color w:val="000000"/>
        </w:rPr>
        <w:t>.</w:t>
      </w:r>
    </w:p>
    <w:p w:rsidR="001934A6" w:rsidRDefault="001934A6" w:rsidP="001934A6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</w:p>
    <w:p w:rsidR="001934A6" w:rsidRPr="00545B20" w:rsidRDefault="001934A6" w:rsidP="001934A6">
      <w:pPr>
        <w:pStyle w:val="NormalWeb"/>
        <w:spacing w:before="0" w:beforeAutospacing="0" w:after="0" w:afterAutospacing="0"/>
        <w:rPr>
          <w:rStyle w:val="apple-converted-space"/>
          <w:color w:val="000000"/>
        </w:rPr>
      </w:pPr>
      <w:r w:rsidRPr="00545B20">
        <w:rPr>
          <w:rStyle w:val="Strong"/>
          <w:rFonts w:eastAsiaTheme="majorEastAsia"/>
          <w:b w:val="0"/>
          <w:bCs w:val="0"/>
          <w:color w:val="000000"/>
        </w:rPr>
        <w:t>Normalized ERFI</w:t>
      </w:r>
      <w:r w:rsidRPr="00545B20">
        <w:rPr>
          <w:b/>
          <w:bCs/>
          <w:color w:val="000000"/>
        </w:rPr>
        <w:t>*</w:t>
      </w:r>
      <w:r>
        <w:rPr>
          <w:color w:val="000000"/>
        </w:rPr>
        <w:t xml:space="preserve"> for site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</w:p>
    <w:p w:rsidR="001934A6" w:rsidRDefault="001934A6" w:rsidP="001934A6">
      <w:pPr>
        <w:pStyle w:val="NormalWeb"/>
        <w:spacing w:before="0" w:beforeAutospacing="0" w:after="0" w:afterAutospacing="0"/>
        <w:rPr>
          <w:rStyle w:val="mclose"/>
          <w:color w:val="000000"/>
        </w:rPr>
      </w:pPr>
      <w:r>
        <w:rPr>
          <w:rStyle w:val="mopen"/>
          <w:rFonts w:eastAsiaTheme="majorEastAsia"/>
          <w:color w:val="000000"/>
        </w:rPr>
        <w:t>(</w:t>
      </w:r>
      <w:r>
        <w:rPr>
          <w:rStyle w:val="mord"/>
          <w:rFonts w:eastAsiaTheme="majorEastAsia"/>
          <w:color w:val="000000"/>
        </w:rPr>
        <w:t>Raw </w:t>
      </w:r>
      <w:proofErr w:type="spellStart"/>
      <w:r>
        <w:rPr>
          <w:rStyle w:val="mord"/>
          <w:rFonts w:eastAsiaTheme="majorEastAsia"/>
          <w:color w:val="000000"/>
        </w:rPr>
        <w:t>ERFIi</w:t>
      </w:r>
      <w:proofErr w:type="spellEnd"/>
      <w:r>
        <w:rPr>
          <w:rStyle w:val="mbin"/>
          <w:rFonts w:eastAsiaTheme="majorEastAsia"/>
          <w:color w:val="000000"/>
        </w:rPr>
        <w:t>−</w:t>
      </w:r>
      <w:r>
        <w:rPr>
          <w:rStyle w:val="mop"/>
          <w:color w:val="000000"/>
        </w:rPr>
        <w:t>min</w:t>
      </w:r>
      <w:r>
        <w:rPr>
          <w:rStyle w:val="mopen"/>
          <w:rFonts w:eastAsiaTheme="majorEastAsia"/>
          <w:color w:val="000000"/>
        </w:rPr>
        <w:t>(</w:t>
      </w:r>
      <w:r>
        <w:rPr>
          <w:rStyle w:val="mord"/>
          <w:rFonts w:eastAsiaTheme="majorEastAsia"/>
          <w:color w:val="000000"/>
        </w:rPr>
        <w:t>Raw ERFI</w:t>
      </w:r>
      <w:r>
        <w:rPr>
          <w:rStyle w:val="mclose"/>
          <w:color w:val="000000"/>
        </w:rPr>
        <w:t>))</w:t>
      </w:r>
      <w:r>
        <w:rPr>
          <w:rStyle w:val="mord"/>
          <w:rFonts w:eastAsiaTheme="majorEastAsia"/>
          <w:color w:val="000000"/>
        </w:rPr>
        <w:t>/</w:t>
      </w:r>
      <w:r>
        <w:rPr>
          <w:rStyle w:val="mopen"/>
          <w:rFonts w:eastAsiaTheme="majorEastAsia"/>
          <w:color w:val="000000"/>
        </w:rPr>
        <w:t>(</w:t>
      </w:r>
      <w:r>
        <w:rPr>
          <w:rStyle w:val="mop"/>
          <w:color w:val="000000"/>
        </w:rPr>
        <w:t>max</w:t>
      </w:r>
      <w:r>
        <w:rPr>
          <w:rStyle w:val="mopen"/>
          <w:rFonts w:eastAsiaTheme="majorEastAsia"/>
          <w:color w:val="000000"/>
        </w:rPr>
        <w:t>(</w:t>
      </w:r>
      <w:r>
        <w:rPr>
          <w:rStyle w:val="mord"/>
          <w:rFonts w:eastAsiaTheme="majorEastAsia"/>
          <w:color w:val="000000"/>
        </w:rPr>
        <w:t>Raw ERFI</w:t>
      </w:r>
      <w:r>
        <w:rPr>
          <w:rStyle w:val="mclose"/>
          <w:color w:val="000000"/>
        </w:rPr>
        <w:t>)</w:t>
      </w:r>
      <w:r>
        <w:rPr>
          <w:rStyle w:val="mbin"/>
          <w:rFonts w:eastAsiaTheme="majorEastAsia"/>
          <w:color w:val="000000"/>
        </w:rPr>
        <w:t>−</w:t>
      </w:r>
      <w:r>
        <w:rPr>
          <w:rStyle w:val="mop"/>
          <w:color w:val="000000"/>
        </w:rPr>
        <w:t>min</w:t>
      </w:r>
      <w:r>
        <w:rPr>
          <w:rStyle w:val="mopen"/>
          <w:rFonts w:eastAsiaTheme="majorEastAsia"/>
          <w:color w:val="000000"/>
        </w:rPr>
        <w:t>(</w:t>
      </w:r>
      <w:r>
        <w:rPr>
          <w:rStyle w:val="mord"/>
          <w:rFonts w:eastAsiaTheme="majorEastAsia"/>
          <w:color w:val="000000"/>
        </w:rPr>
        <w:t>Raw ERFI</w:t>
      </w:r>
      <w:r>
        <w:rPr>
          <w:rStyle w:val="mclose"/>
          <w:color w:val="000000"/>
        </w:rPr>
        <w:t>))</w:t>
      </w:r>
    </w:p>
    <w:p w:rsidR="001934A6" w:rsidRDefault="001934A6" w:rsidP="001934A6">
      <w:pPr>
        <w:pStyle w:val="NormalWeb"/>
        <w:spacing w:before="0" w:beforeAutospacing="0" w:after="0" w:afterAutospacing="0"/>
        <w:rPr>
          <w:rStyle w:val="mclose"/>
          <w:color w:val="000000"/>
        </w:rPr>
      </w:pPr>
    </w:p>
    <w:p w:rsidR="001934A6" w:rsidRDefault="001934A6" w:rsidP="001934A6">
      <w:r w:rsidRPr="00015BCE">
        <w:t>ERFI* = (42.40 – min(ERFI)) / (max(ERFI) – min(ERFI))</w:t>
      </w:r>
    </w:p>
    <w:p w:rsidR="001934A6" w:rsidRPr="00015BCE" w:rsidRDefault="001934A6" w:rsidP="001934A6"/>
    <w:p w:rsidR="001934A6" w:rsidRDefault="001934A6" w:rsidP="001934A6">
      <w:r w:rsidRPr="00015BCE">
        <w:t>For example, if min(ERFI)=10.00 and max(ERFI)=60.00, then ERFI* = (42.40–10.00)/(60.00–10.00) = 0.65.</w:t>
      </w:r>
    </w:p>
    <w:p w:rsidR="001934A6" w:rsidRDefault="001934A6" w:rsidP="001934A6">
      <w:pPr>
        <w:spacing w:line="480" w:lineRule="auto"/>
      </w:pPr>
    </w:p>
    <w:p w:rsidR="001934A6" w:rsidRDefault="001934A6" w:rsidP="001934A6">
      <w:pPr>
        <w:spacing w:line="480" w:lineRule="auto"/>
      </w:pPr>
    </w:p>
    <w:p w:rsidR="007A2DC5" w:rsidRDefault="007A2DC5"/>
    <w:sectPr w:rsidR="007A2DC5" w:rsidSect="001934A6">
      <w:pgSz w:w="1156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35705"/>
    <w:multiLevelType w:val="multilevel"/>
    <w:tmpl w:val="663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2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44"/>
    <w:rsid w:val="00006342"/>
    <w:rsid w:val="00044EBB"/>
    <w:rsid w:val="00060589"/>
    <w:rsid w:val="00062F85"/>
    <w:rsid w:val="00063BAC"/>
    <w:rsid w:val="00073768"/>
    <w:rsid w:val="000740A8"/>
    <w:rsid w:val="0007463E"/>
    <w:rsid w:val="00076618"/>
    <w:rsid w:val="00096905"/>
    <w:rsid w:val="000C1C78"/>
    <w:rsid w:val="000C389A"/>
    <w:rsid w:val="000D2452"/>
    <w:rsid w:val="000D4E84"/>
    <w:rsid w:val="000F33CA"/>
    <w:rsid w:val="000F7D01"/>
    <w:rsid w:val="00130164"/>
    <w:rsid w:val="00145DFC"/>
    <w:rsid w:val="001561ED"/>
    <w:rsid w:val="001570EC"/>
    <w:rsid w:val="0016221D"/>
    <w:rsid w:val="00162B14"/>
    <w:rsid w:val="001679EF"/>
    <w:rsid w:val="00175AB6"/>
    <w:rsid w:val="00177E2B"/>
    <w:rsid w:val="00180C60"/>
    <w:rsid w:val="00190F96"/>
    <w:rsid w:val="001934A6"/>
    <w:rsid w:val="001A7AF2"/>
    <w:rsid w:val="001B1672"/>
    <w:rsid w:val="001C0CE3"/>
    <w:rsid w:val="001F50A8"/>
    <w:rsid w:val="002019B2"/>
    <w:rsid w:val="00214393"/>
    <w:rsid w:val="0022360B"/>
    <w:rsid w:val="002338D0"/>
    <w:rsid w:val="00240B5D"/>
    <w:rsid w:val="002451DA"/>
    <w:rsid w:val="00256331"/>
    <w:rsid w:val="002565CE"/>
    <w:rsid w:val="00280932"/>
    <w:rsid w:val="002934EE"/>
    <w:rsid w:val="00297C72"/>
    <w:rsid w:val="002A3960"/>
    <w:rsid w:val="002B2BA7"/>
    <w:rsid w:val="002C5613"/>
    <w:rsid w:val="002D1DAD"/>
    <w:rsid w:val="002D44CB"/>
    <w:rsid w:val="002D6288"/>
    <w:rsid w:val="002E4587"/>
    <w:rsid w:val="002E5F51"/>
    <w:rsid w:val="002F7BAA"/>
    <w:rsid w:val="00302DDC"/>
    <w:rsid w:val="00305301"/>
    <w:rsid w:val="00307210"/>
    <w:rsid w:val="00315B0F"/>
    <w:rsid w:val="00317B4A"/>
    <w:rsid w:val="00330608"/>
    <w:rsid w:val="00337423"/>
    <w:rsid w:val="0035376B"/>
    <w:rsid w:val="00361022"/>
    <w:rsid w:val="00376FE0"/>
    <w:rsid w:val="00382B5B"/>
    <w:rsid w:val="003B4032"/>
    <w:rsid w:val="003C0A7A"/>
    <w:rsid w:val="003C41C1"/>
    <w:rsid w:val="003D79D7"/>
    <w:rsid w:val="003D7EE1"/>
    <w:rsid w:val="003E547B"/>
    <w:rsid w:val="004120BA"/>
    <w:rsid w:val="00425632"/>
    <w:rsid w:val="00430600"/>
    <w:rsid w:val="004306B7"/>
    <w:rsid w:val="00441295"/>
    <w:rsid w:val="00445D72"/>
    <w:rsid w:val="00447FBF"/>
    <w:rsid w:val="0045116F"/>
    <w:rsid w:val="00453F06"/>
    <w:rsid w:val="004549B2"/>
    <w:rsid w:val="00455267"/>
    <w:rsid w:val="004658FA"/>
    <w:rsid w:val="00470B12"/>
    <w:rsid w:val="00484CD2"/>
    <w:rsid w:val="00497D88"/>
    <w:rsid w:val="004A192B"/>
    <w:rsid w:val="004B0E73"/>
    <w:rsid w:val="004C7E58"/>
    <w:rsid w:val="004D7825"/>
    <w:rsid w:val="004F1CA0"/>
    <w:rsid w:val="004F3D31"/>
    <w:rsid w:val="00503397"/>
    <w:rsid w:val="00503978"/>
    <w:rsid w:val="00510D37"/>
    <w:rsid w:val="00515D40"/>
    <w:rsid w:val="005246A7"/>
    <w:rsid w:val="00524DD7"/>
    <w:rsid w:val="00550247"/>
    <w:rsid w:val="005510B6"/>
    <w:rsid w:val="00552D1D"/>
    <w:rsid w:val="005560B2"/>
    <w:rsid w:val="00557AC3"/>
    <w:rsid w:val="00572BF9"/>
    <w:rsid w:val="0059556F"/>
    <w:rsid w:val="005A17A7"/>
    <w:rsid w:val="005A3B35"/>
    <w:rsid w:val="005A5BE8"/>
    <w:rsid w:val="005B5299"/>
    <w:rsid w:val="005C625B"/>
    <w:rsid w:val="005D0C9A"/>
    <w:rsid w:val="005D48AA"/>
    <w:rsid w:val="005E2D3C"/>
    <w:rsid w:val="005F0D80"/>
    <w:rsid w:val="005F5AC7"/>
    <w:rsid w:val="00637489"/>
    <w:rsid w:val="00645176"/>
    <w:rsid w:val="00645DA8"/>
    <w:rsid w:val="00647C25"/>
    <w:rsid w:val="00677426"/>
    <w:rsid w:val="0068064F"/>
    <w:rsid w:val="006869C4"/>
    <w:rsid w:val="00696F29"/>
    <w:rsid w:val="006A3C75"/>
    <w:rsid w:val="006A5A52"/>
    <w:rsid w:val="006B21A7"/>
    <w:rsid w:val="006E2743"/>
    <w:rsid w:val="00701B15"/>
    <w:rsid w:val="007123BB"/>
    <w:rsid w:val="00715A09"/>
    <w:rsid w:val="007241E2"/>
    <w:rsid w:val="00726B5C"/>
    <w:rsid w:val="0075205B"/>
    <w:rsid w:val="007526BB"/>
    <w:rsid w:val="0076269F"/>
    <w:rsid w:val="00763E33"/>
    <w:rsid w:val="00766450"/>
    <w:rsid w:val="00770A59"/>
    <w:rsid w:val="00770FBD"/>
    <w:rsid w:val="00775C3F"/>
    <w:rsid w:val="007878B9"/>
    <w:rsid w:val="007937EE"/>
    <w:rsid w:val="007A283A"/>
    <w:rsid w:val="007A2DC5"/>
    <w:rsid w:val="007A462B"/>
    <w:rsid w:val="007A54BD"/>
    <w:rsid w:val="007B297A"/>
    <w:rsid w:val="007C3399"/>
    <w:rsid w:val="007C3E40"/>
    <w:rsid w:val="007E14C5"/>
    <w:rsid w:val="007F55F6"/>
    <w:rsid w:val="007F749F"/>
    <w:rsid w:val="00803EA9"/>
    <w:rsid w:val="00807A83"/>
    <w:rsid w:val="0081282E"/>
    <w:rsid w:val="00813AED"/>
    <w:rsid w:val="008323AE"/>
    <w:rsid w:val="008507D0"/>
    <w:rsid w:val="008537CF"/>
    <w:rsid w:val="0085638F"/>
    <w:rsid w:val="00873916"/>
    <w:rsid w:val="00880A46"/>
    <w:rsid w:val="00884712"/>
    <w:rsid w:val="008B5A38"/>
    <w:rsid w:val="008D1B14"/>
    <w:rsid w:val="008D1FAE"/>
    <w:rsid w:val="008E42B8"/>
    <w:rsid w:val="008E5844"/>
    <w:rsid w:val="008F1A55"/>
    <w:rsid w:val="00906761"/>
    <w:rsid w:val="00906ABA"/>
    <w:rsid w:val="00912D5A"/>
    <w:rsid w:val="00915C09"/>
    <w:rsid w:val="009178F0"/>
    <w:rsid w:val="00920F8A"/>
    <w:rsid w:val="0092474B"/>
    <w:rsid w:val="00924A77"/>
    <w:rsid w:val="00945F83"/>
    <w:rsid w:val="00964040"/>
    <w:rsid w:val="00970AAB"/>
    <w:rsid w:val="00984206"/>
    <w:rsid w:val="009A1942"/>
    <w:rsid w:val="009A7F23"/>
    <w:rsid w:val="009B2246"/>
    <w:rsid w:val="009D0C8B"/>
    <w:rsid w:val="009E4DD8"/>
    <w:rsid w:val="00A02D36"/>
    <w:rsid w:val="00A128FE"/>
    <w:rsid w:val="00A22921"/>
    <w:rsid w:val="00A2310D"/>
    <w:rsid w:val="00A33019"/>
    <w:rsid w:val="00A41179"/>
    <w:rsid w:val="00A41970"/>
    <w:rsid w:val="00A5273A"/>
    <w:rsid w:val="00A539C6"/>
    <w:rsid w:val="00A558F5"/>
    <w:rsid w:val="00A74053"/>
    <w:rsid w:val="00A802BD"/>
    <w:rsid w:val="00A839BD"/>
    <w:rsid w:val="00A930B9"/>
    <w:rsid w:val="00AA3BEC"/>
    <w:rsid w:val="00AA42F1"/>
    <w:rsid w:val="00AB1C24"/>
    <w:rsid w:val="00AB32DD"/>
    <w:rsid w:val="00AB47F9"/>
    <w:rsid w:val="00AB4CD2"/>
    <w:rsid w:val="00AB4E50"/>
    <w:rsid w:val="00AC0E5A"/>
    <w:rsid w:val="00AC1730"/>
    <w:rsid w:val="00AC477E"/>
    <w:rsid w:val="00AF058C"/>
    <w:rsid w:val="00AF1072"/>
    <w:rsid w:val="00AF5ACF"/>
    <w:rsid w:val="00B0215F"/>
    <w:rsid w:val="00B03BCE"/>
    <w:rsid w:val="00B05F6F"/>
    <w:rsid w:val="00B0780B"/>
    <w:rsid w:val="00B16C75"/>
    <w:rsid w:val="00B3194F"/>
    <w:rsid w:val="00B52045"/>
    <w:rsid w:val="00B96D02"/>
    <w:rsid w:val="00BA1CF1"/>
    <w:rsid w:val="00BA38C3"/>
    <w:rsid w:val="00BB3C4C"/>
    <w:rsid w:val="00BB482F"/>
    <w:rsid w:val="00BB60E1"/>
    <w:rsid w:val="00BC2F56"/>
    <w:rsid w:val="00BC69D9"/>
    <w:rsid w:val="00BD0844"/>
    <w:rsid w:val="00BD2351"/>
    <w:rsid w:val="00BE375F"/>
    <w:rsid w:val="00BE4515"/>
    <w:rsid w:val="00BE7B07"/>
    <w:rsid w:val="00BF3ACE"/>
    <w:rsid w:val="00BF46A0"/>
    <w:rsid w:val="00C05A84"/>
    <w:rsid w:val="00C10978"/>
    <w:rsid w:val="00C2772A"/>
    <w:rsid w:val="00C37119"/>
    <w:rsid w:val="00C632EC"/>
    <w:rsid w:val="00C715EC"/>
    <w:rsid w:val="00C81D73"/>
    <w:rsid w:val="00C8296E"/>
    <w:rsid w:val="00C90EAF"/>
    <w:rsid w:val="00CA1711"/>
    <w:rsid w:val="00CB2C34"/>
    <w:rsid w:val="00CB3CBD"/>
    <w:rsid w:val="00CD3680"/>
    <w:rsid w:val="00CD524D"/>
    <w:rsid w:val="00CD78DB"/>
    <w:rsid w:val="00CE2706"/>
    <w:rsid w:val="00CE49E5"/>
    <w:rsid w:val="00D05B00"/>
    <w:rsid w:val="00D11231"/>
    <w:rsid w:val="00D11E02"/>
    <w:rsid w:val="00D1265D"/>
    <w:rsid w:val="00D15C0E"/>
    <w:rsid w:val="00D1794F"/>
    <w:rsid w:val="00D2116E"/>
    <w:rsid w:val="00D22960"/>
    <w:rsid w:val="00D27F66"/>
    <w:rsid w:val="00D33119"/>
    <w:rsid w:val="00D33369"/>
    <w:rsid w:val="00D34814"/>
    <w:rsid w:val="00D366A2"/>
    <w:rsid w:val="00D40E1F"/>
    <w:rsid w:val="00D50610"/>
    <w:rsid w:val="00D5295D"/>
    <w:rsid w:val="00D54E22"/>
    <w:rsid w:val="00D578F6"/>
    <w:rsid w:val="00D81CA7"/>
    <w:rsid w:val="00DC41B0"/>
    <w:rsid w:val="00DC5E00"/>
    <w:rsid w:val="00DD59E7"/>
    <w:rsid w:val="00DE41EC"/>
    <w:rsid w:val="00DE6CF9"/>
    <w:rsid w:val="00DF082B"/>
    <w:rsid w:val="00DF5E1A"/>
    <w:rsid w:val="00DF73F4"/>
    <w:rsid w:val="00E17222"/>
    <w:rsid w:val="00E20683"/>
    <w:rsid w:val="00E25A8B"/>
    <w:rsid w:val="00E36051"/>
    <w:rsid w:val="00E36723"/>
    <w:rsid w:val="00E5142C"/>
    <w:rsid w:val="00E65A44"/>
    <w:rsid w:val="00E77033"/>
    <w:rsid w:val="00EA3EC7"/>
    <w:rsid w:val="00EB2997"/>
    <w:rsid w:val="00EB46D9"/>
    <w:rsid w:val="00EB5389"/>
    <w:rsid w:val="00EB7AF2"/>
    <w:rsid w:val="00EC3B1B"/>
    <w:rsid w:val="00EE2585"/>
    <w:rsid w:val="00F07704"/>
    <w:rsid w:val="00F14FA5"/>
    <w:rsid w:val="00F17B64"/>
    <w:rsid w:val="00F338D7"/>
    <w:rsid w:val="00F366D4"/>
    <w:rsid w:val="00F47318"/>
    <w:rsid w:val="00F874EE"/>
    <w:rsid w:val="00F97E4F"/>
    <w:rsid w:val="00FC1E8B"/>
    <w:rsid w:val="00FD3320"/>
    <w:rsid w:val="00FE5DC7"/>
    <w:rsid w:val="00FF3CE6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E8BE"/>
  <w15:chartTrackingRefBased/>
  <w15:docId w15:val="{89D18487-C678-6349-9591-A7297C2F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65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A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A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A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A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5A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A44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E65A44"/>
    <w:rPr>
      <w:rFonts w:ascii="Times New Roman" w:eastAsiaTheme="majorEastAsia" w:hAnsi="Times New Roman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A44"/>
    <w:rPr>
      <w:rFonts w:ascii="Times New Roman" w:eastAsiaTheme="majorEastAsia" w:hAnsi="Times New Roman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A44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A44"/>
    <w:rPr>
      <w:rFonts w:ascii="Times New Roman" w:eastAsiaTheme="majorEastAsia" w:hAnsi="Times New Roman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A44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A44"/>
    <w:rPr>
      <w:rFonts w:ascii="Times New Roman" w:eastAsiaTheme="majorEastAsia" w:hAnsi="Times New Roman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5A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A4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A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A44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65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A44"/>
    <w:rPr>
      <w:rFonts w:ascii="Times New Roman" w:eastAsia="Times New Roman" w:hAnsi="Times New Roman" w:cs="Times New Roman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65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A44"/>
    <w:rPr>
      <w:rFonts w:ascii="Times New Roman" w:eastAsia="Times New Roman" w:hAnsi="Times New Roman" w:cs="Times New Roman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65A44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E65A44"/>
    <w:pPr>
      <w:spacing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65A44"/>
    <w:rPr>
      <w:b/>
      <w:bCs/>
    </w:rPr>
  </w:style>
  <w:style w:type="table" w:styleId="TableGrid">
    <w:name w:val="Table Grid"/>
    <w:basedOn w:val="TableNormal"/>
    <w:uiPriority w:val="59"/>
    <w:rsid w:val="00E65A44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A44"/>
  </w:style>
  <w:style w:type="character" w:styleId="Emphasis">
    <w:name w:val="Emphasis"/>
    <w:basedOn w:val="DefaultParagraphFont"/>
    <w:uiPriority w:val="20"/>
    <w:qFormat/>
    <w:rsid w:val="00E65A4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65A44"/>
    <w:pPr>
      <w:spacing w:before="100" w:beforeAutospacing="1" w:after="100" w:afterAutospacing="1"/>
    </w:pPr>
  </w:style>
  <w:style w:type="character" w:customStyle="1" w:styleId="katex">
    <w:name w:val="katex"/>
    <w:basedOn w:val="DefaultParagraphFont"/>
    <w:rsid w:val="00E65A44"/>
  </w:style>
  <w:style w:type="character" w:customStyle="1" w:styleId="mopen">
    <w:name w:val="mopen"/>
    <w:basedOn w:val="DefaultParagraphFont"/>
    <w:rsid w:val="00E65A44"/>
  </w:style>
  <w:style w:type="character" w:customStyle="1" w:styleId="mord">
    <w:name w:val="mord"/>
    <w:basedOn w:val="DefaultParagraphFont"/>
    <w:rsid w:val="00E65A44"/>
  </w:style>
  <w:style w:type="character" w:customStyle="1" w:styleId="vlist-s">
    <w:name w:val="vlist-s"/>
    <w:basedOn w:val="DefaultParagraphFont"/>
    <w:rsid w:val="00E65A44"/>
  </w:style>
  <w:style w:type="character" w:customStyle="1" w:styleId="mbin">
    <w:name w:val="mbin"/>
    <w:basedOn w:val="DefaultParagraphFont"/>
    <w:rsid w:val="00E65A44"/>
  </w:style>
  <w:style w:type="character" w:customStyle="1" w:styleId="mop">
    <w:name w:val="mop"/>
    <w:basedOn w:val="DefaultParagraphFont"/>
    <w:rsid w:val="00E65A44"/>
  </w:style>
  <w:style w:type="character" w:customStyle="1" w:styleId="mclose">
    <w:name w:val="mclose"/>
    <w:basedOn w:val="DefaultParagraphFont"/>
    <w:rsid w:val="00E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Palmer</dc:creator>
  <cp:keywords/>
  <dc:description/>
  <cp:lastModifiedBy>Caroline Palmer</cp:lastModifiedBy>
  <cp:revision>1</cp:revision>
  <dcterms:created xsi:type="dcterms:W3CDTF">2025-07-10T14:24:00Z</dcterms:created>
  <dcterms:modified xsi:type="dcterms:W3CDTF">2025-07-10T14:24:00Z</dcterms:modified>
</cp:coreProperties>
</file>