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217CA">
      <w:pPr>
        <w:pStyle w:val="156"/>
      </w:pPr>
      <w:r>
        <w:t>STROBE Statement—checklist of items that should be included in reports of observational studies</w:t>
      </w:r>
    </w:p>
    <w:p w14:paraId="33A5C940">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14:paraId="51A6A14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2AD35D1">
            <w:pPr>
              <w:tabs>
                <w:tab w:val="left" w:pos="5400"/>
              </w:tabs>
              <w:rPr>
                <w:sz w:val="20"/>
              </w:rPr>
            </w:pPr>
            <w:bookmarkStart w:id="0" w:name="bold2" w:colFirst="2" w:colLast="2"/>
            <w:bookmarkStart w:id="1" w:name="bold4" w:colFirst="4" w:colLast="4"/>
            <w:bookmarkStart w:id="2" w:name="italic5" w:colFirst="4" w:colLast="4"/>
            <w:bookmarkStart w:id="3" w:name="italic4" w:colFirst="3" w:colLast="3"/>
            <w:bookmarkStart w:id="4" w:name="italic2" w:colFirst="1" w:colLast="1"/>
            <w:bookmarkStart w:id="5" w:name="bold3" w:colFirst="3" w:colLast="3"/>
            <w:bookmarkStart w:id="6" w:name="bold1" w:colFirst="1" w:colLast="1"/>
            <w:bookmarkStart w:id="7" w:name="italic3" w:colFirst="2" w:colLast="2"/>
            <w:bookmarkStart w:id="8" w:name="italic1" w:colFirst="0" w:colLast="0"/>
          </w:p>
        </w:tc>
        <w:tc>
          <w:tcPr>
            <w:tcW w:w="616" w:type="dxa"/>
          </w:tcPr>
          <w:p w14:paraId="505F9A0A">
            <w:pPr>
              <w:pStyle w:val="166"/>
              <w:tabs>
                <w:tab w:val="left" w:pos="5400"/>
              </w:tabs>
              <w:jc w:val="center"/>
              <w:rPr>
                <w:bCs/>
                <w:sz w:val="20"/>
              </w:rPr>
            </w:pPr>
            <w:r>
              <w:rPr>
                <w:bCs/>
                <w:sz w:val="20"/>
              </w:rPr>
              <w:t>Item No.</w:t>
            </w:r>
          </w:p>
        </w:tc>
        <w:tc>
          <w:tcPr>
            <w:tcW w:w="8031" w:type="dxa"/>
            <w:vAlign w:val="bottom"/>
          </w:tcPr>
          <w:p w14:paraId="5CAB46C5">
            <w:pPr>
              <w:pStyle w:val="166"/>
              <w:tabs>
                <w:tab w:val="left" w:pos="5400"/>
              </w:tabs>
              <w:jc w:val="center"/>
              <w:rPr>
                <w:bCs/>
                <w:sz w:val="20"/>
              </w:rPr>
            </w:pPr>
            <w:r>
              <w:rPr>
                <w:bCs/>
                <w:sz w:val="20"/>
              </w:rPr>
              <w:t>Recommendation</w:t>
            </w:r>
          </w:p>
        </w:tc>
        <w:tc>
          <w:tcPr>
            <w:tcW w:w="1559" w:type="dxa"/>
          </w:tcPr>
          <w:p w14:paraId="77AD85A5">
            <w:pPr>
              <w:pStyle w:val="166"/>
              <w:tabs>
                <w:tab w:val="left" w:pos="5400"/>
              </w:tabs>
              <w:jc w:val="center"/>
              <w:rPr>
                <w:bCs/>
                <w:sz w:val="20"/>
              </w:rPr>
            </w:pPr>
            <w:r>
              <w:rPr>
                <w:bCs/>
                <w:sz w:val="20"/>
              </w:rPr>
              <w:t xml:space="preserve">Page </w:t>
            </w:r>
            <w:r>
              <w:rPr>
                <w:bCs/>
                <w:sz w:val="20"/>
              </w:rPr>
              <w:br w:type="textWrapping"/>
            </w:r>
            <w:r>
              <w:rPr>
                <w:bCs/>
                <w:sz w:val="20"/>
              </w:rPr>
              <w:t>No.</w:t>
            </w:r>
          </w:p>
        </w:tc>
        <w:tc>
          <w:tcPr>
            <w:tcW w:w="2835" w:type="dxa"/>
          </w:tcPr>
          <w:p w14:paraId="41CD69E2">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5A20E5E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00CD7850">
            <w:pPr>
              <w:tabs>
                <w:tab w:val="left" w:pos="5400"/>
              </w:tabs>
              <w:rPr>
                <w:b/>
                <w:bCs/>
                <w:sz w:val="20"/>
              </w:rPr>
            </w:pPr>
            <w:bookmarkStart w:id="9" w:name="bold5"/>
            <w:bookmarkStart w:id="10" w:name="italic6"/>
            <w:r>
              <w:rPr>
                <w:b/>
                <w:sz w:val="20"/>
              </w:rPr>
              <w:t>Title and abstract</w:t>
            </w:r>
            <w:bookmarkEnd w:id="9"/>
            <w:bookmarkEnd w:id="10"/>
          </w:p>
        </w:tc>
        <w:tc>
          <w:tcPr>
            <w:tcW w:w="616" w:type="dxa"/>
            <w:vMerge w:val="restart"/>
          </w:tcPr>
          <w:p w14:paraId="3EE1D786">
            <w:pPr>
              <w:tabs>
                <w:tab w:val="left" w:pos="5400"/>
              </w:tabs>
              <w:jc w:val="center"/>
              <w:rPr>
                <w:sz w:val="20"/>
              </w:rPr>
            </w:pPr>
            <w:r>
              <w:rPr>
                <w:sz w:val="20"/>
              </w:rPr>
              <w:t>1</w:t>
            </w:r>
          </w:p>
        </w:tc>
        <w:tc>
          <w:tcPr>
            <w:tcW w:w="8031" w:type="dxa"/>
          </w:tcPr>
          <w:p w14:paraId="0DCCB0B9">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14:paraId="048BFA4E">
            <w:pPr>
              <w:tabs>
                <w:tab w:val="left" w:pos="5400"/>
              </w:tabs>
              <w:rPr>
                <w:rFonts w:hint="eastAsia" w:eastAsia="宋体"/>
                <w:sz w:val="20"/>
                <w:lang w:val="en-US" w:eastAsia="zh-CN"/>
              </w:rPr>
            </w:pPr>
            <w:r>
              <w:rPr>
                <w:rFonts w:hint="eastAsia" w:eastAsia="宋体"/>
                <w:sz w:val="20"/>
                <w:lang w:val="en-US" w:eastAsia="zh-CN"/>
              </w:rPr>
              <w:t>1</w:t>
            </w:r>
          </w:p>
        </w:tc>
        <w:tc>
          <w:tcPr>
            <w:tcW w:w="2835" w:type="dxa"/>
          </w:tcPr>
          <w:p w14:paraId="30906AFB">
            <w:pPr>
              <w:tabs>
                <w:tab w:val="left" w:pos="5400"/>
              </w:tabs>
              <w:rPr>
                <w:sz w:val="20"/>
              </w:rPr>
            </w:pPr>
            <w:r>
              <w:rPr>
                <w:rFonts w:hint="eastAsia"/>
                <w:sz w:val="20"/>
              </w:rPr>
              <w:t>Sleep and geriatric syndromes in elderly emergency patients in China: a cross-sectional survey</w:t>
            </w:r>
          </w:p>
        </w:tc>
      </w:tr>
      <w:tr w14:paraId="356C82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30F76AEA">
            <w:pPr>
              <w:tabs>
                <w:tab w:val="left" w:pos="5400"/>
              </w:tabs>
              <w:rPr>
                <w:bCs/>
                <w:sz w:val="20"/>
              </w:rPr>
            </w:pPr>
            <w:bookmarkStart w:id="11" w:name="italic7" w:colFirst="0" w:colLast="0"/>
            <w:bookmarkStart w:id="12" w:name="bold6" w:colFirst="0" w:colLast="0"/>
          </w:p>
        </w:tc>
        <w:tc>
          <w:tcPr>
            <w:tcW w:w="616" w:type="dxa"/>
            <w:vMerge w:val="continue"/>
          </w:tcPr>
          <w:p w14:paraId="7D278D99">
            <w:pPr>
              <w:tabs>
                <w:tab w:val="left" w:pos="5400"/>
              </w:tabs>
              <w:jc w:val="center"/>
              <w:rPr>
                <w:sz w:val="20"/>
              </w:rPr>
            </w:pPr>
          </w:p>
        </w:tc>
        <w:tc>
          <w:tcPr>
            <w:tcW w:w="8031" w:type="dxa"/>
          </w:tcPr>
          <w:p w14:paraId="1EFF4C67">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14:paraId="3BA28B5B">
            <w:pPr>
              <w:tabs>
                <w:tab w:val="left" w:pos="5400"/>
              </w:tabs>
              <w:rPr>
                <w:rFonts w:hint="default" w:eastAsia="宋体"/>
                <w:sz w:val="20"/>
                <w:lang w:val="en-US" w:eastAsia="zh-CN"/>
              </w:rPr>
            </w:pPr>
            <w:r>
              <w:rPr>
                <w:rFonts w:hint="eastAsia" w:eastAsia="宋体"/>
                <w:sz w:val="20"/>
                <w:lang w:val="en-US" w:eastAsia="zh-CN"/>
              </w:rPr>
              <w:t>1-2</w:t>
            </w:r>
          </w:p>
        </w:tc>
        <w:tc>
          <w:tcPr>
            <w:tcW w:w="2835" w:type="dxa"/>
          </w:tcPr>
          <w:p w14:paraId="7625AF5D">
            <w:pPr>
              <w:tabs>
                <w:tab w:val="left" w:pos="5400"/>
              </w:tabs>
              <w:rPr>
                <w:sz w:val="20"/>
              </w:rPr>
            </w:pPr>
            <w:r>
              <w:rPr>
                <w:rFonts w:hint="eastAsia"/>
                <w:sz w:val="20"/>
              </w:rPr>
              <w:t>This study indicates that improving sleep may be a favorable factor for controlling geriatric syndromes.</w:t>
            </w:r>
          </w:p>
        </w:tc>
      </w:tr>
      <w:bookmarkEnd w:id="11"/>
      <w:bookmarkEnd w:id="12"/>
      <w:tr w14:paraId="19C0F69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559D3B29">
            <w:pPr>
              <w:pStyle w:val="168"/>
              <w:tabs>
                <w:tab w:val="left" w:pos="5400"/>
              </w:tabs>
              <w:rPr>
                <w:sz w:val="20"/>
              </w:rPr>
            </w:pPr>
            <w:bookmarkStart w:id="13" w:name="bold7"/>
            <w:bookmarkStart w:id="14" w:name="italic8"/>
            <w:r>
              <w:rPr>
                <w:sz w:val="20"/>
              </w:rPr>
              <w:t>Introduction</w:t>
            </w:r>
          </w:p>
          <w:bookmarkEnd w:id="13"/>
          <w:bookmarkEnd w:id="14"/>
        </w:tc>
        <w:tc>
          <w:tcPr>
            <w:tcW w:w="2835" w:type="dxa"/>
          </w:tcPr>
          <w:p w14:paraId="2B48EF8E">
            <w:pPr>
              <w:pStyle w:val="168"/>
              <w:tabs>
                <w:tab w:val="left" w:pos="5400"/>
              </w:tabs>
              <w:rPr>
                <w:sz w:val="20"/>
              </w:rPr>
            </w:pPr>
          </w:p>
        </w:tc>
      </w:tr>
      <w:tr w14:paraId="692890E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F757F76">
            <w:pPr>
              <w:tabs>
                <w:tab w:val="left" w:pos="5400"/>
              </w:tabs>
              <w:rPr>
                <w:bCs/>
                <w:sz w:val="20"/>
              </w:rPr>
            </w:pPr>
            <w:bookmarkStart w:id="15" w:name="italic9"/>
            <w:bookmarkStart w:id="16" w:name="bold8"/>
            <w:r>
              <w:rPr>
                <w:bCs/>
                <w:sz w:val="20"/>
              </w:rPr>
              <w:t>Background/</w:t>
            </w:r>
            <w:bookmarkEnd w:id="15"/>
            <w:bookmarkEnd w:id="16"/>
            <w:bookmarkStart w:id="17" w:name="italic10"/>
            <w:bookmarkStart w:id="18" w:name="bold9"/>
            <w:r>
              <w:rPr>
                <w:bCs/>
                <w:sz w:val="20"/>
              </w:rPr>
              <w:t>rationale</w:t>
            </w:r>
            <w:bookmarkEnd w:id="17"/>
            <w:bookmarkEnd w:id="18"/>
          </w:p>
        </w:tc>
        <w:tc>
          <w:tcPr>
            <w:tcW w:w="616" w:type="dxa"/>
          </w:tcPr>
          <w:p w14:paraId="0F594F89">
            <w:pPr>
              <w:tabs>
                <w:tab w:val="left" w:pos="5400"/>
              </w:tabs>
              <w:jc w:val="center"/>
              <w:rPr>
                <w:sz w:val="20"/>
              </w:rPr>
            </w:pPr>
            <w:r>
              <w:rPr>
                <w:sz w:val="20"/>
              </w:rPr>
              <w:t>2</w:t>
            </w:r>
          </w:p>
        </w:tc>
        <w:tc>
          <w:tcPr>
            <w:tcW w:w="8031" w:type="dxa"/>
          </w:tcPr>
          <w:p w14:paraId="43A7F127">
            <w:pPr>
              <w:tabs>
                <w:tab w:val="left" w:pos="5400"/>
              </w:tabs>
              <w:rPr>
                <w:sz w:val="20"/>
              </w:rPr>
            </w:pPr>
            <w:r>
              <w:rPr>
                <w:sz w:val="20"/>
              </w:rPr>
              <w:t>Explain the scientific background and rationale for the investigation being reported</w:t>
            </w:r>
          </w:p>
        </w:tc>
        <w:tc>
          <w:tcPr>
            <w:tcW w:w="1559" w:type="dxa"/>
          </w:tcPr>
          <w:p w14:paraId="5F3EC813">
            <w:pPr>
              <w:tabs>
                <w:tab w:val="left" w:pos="5400"/>
              </w:tabs>
              <w:rPr>
                <w:rFonts w:hint="default" w:eastAsia="宋体"/>
                <w:sz w:val="20"/>
                <w:lang w:val="en-US" w:eastAsia="zh-CN"/>
              </w:rPr>
            </w:pPr>
            <w:r>
              <w:rPr>
                <w:rFonts w:hint="eastAsia" w:eastAsia="宋体"/>
                <w:sz w:val="20"/>
                <w:lang w:val="en-US" w:eastAsia="zh-CN"/>
              </w:rPr>
              <w:t>2-3</w:t>
            </w:r>
          </w:p>
        </w:tc>
        <w:tc>
          <w:tcPr>
            <w:tcW w:w="2835" w:type="dxa"/>
          </w:tcPr>
          <w:p w14:paraId="61C6034A">
            <w:pPr>
              <w:tabs>
                <w:tab w:val="left" w:pos="5400"/>
              </w:tabs>
              <w:rPr>
                <w:sz w:val="20"/>
              </w:rPr>
            </w:pPr>
            <w:r>
              <w:rPr>
                <w:rFonts w:hint="eastAsia"/>
                <w:sz w:val="20"/>
              </w:rPr>
              <w:t>Older patients often encounter more complex health issues with atypical symptom presentation, which leads to greater diagnostic and therapeutic difficulties compared to younger patients. Due to the decline in various organ functions and the instability of the internal environment, elderly patients are prone to recurrent acute episodes and rapid disease progression. Consequently, elderly patients admitted to the emergency department tend to have poorer prognoses, higher hospitalization rates, return visit rates, and mortality rates.</w:t>
            </w:r>
          </w:p>
        </w:tc>
      </w:tr>
      <w:tr w14:paraId="61B308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7D2405C9">
            <w:pPr>
              <w:tabs>
                <w:tab w:val="left" w:pos="5400"/>
              </w:tabs>
              <w:rPr>
                <w:bCs/>
                <w:sz w:val="20"/>
              </w:rPr>
            </w:pPr>
            <w:bookmarkStart w:id="19" w:name="bold10" w:colFirst="0" w:colLast="0"/>
            <w:bookmarkStart w:id="20" w:name="italic11" w:colFirst="0" w:colLast="0"/>
            <w:r>
              <w:rPr>
                <w:bCs/>
                <w:sz w:val="20"/>
              </w:rPr>
              <w:t>Objectives</w:t>
            </w:r>
          </w:p>
        </w:tc>
        <w:tc>
          <w:tcPr>
            <w:tcW w:w="616" w:type="dxa"/>
          </w:tcPr>
          <w:p w14:paraId="7FEE9FBC">
            <w:pPr>
              <w:tabs>
                <w:tab w:val="left" w:pos="5400"/>
              </w:tabs>
              <w:jc w:val="center"/>
              <w:rPr>
                <w:sz w:val="20"/>
              </w:rPr>
            </w:pPr>
            <w:r>
              <w:rPr>
                <w:sz w:val="20"/>
              </w:rPr>
              <w:t>3</w:t>
            </w:r>
          </w:p>
        </w:tc>
        <w:tc>
          <w:tcPr>
            <w:tcW w:w="8031" w:type="dxa"/>
          </w:tcPr>
          <w:p w14:paraId="2123D617">
            <w:pPr>
              <w:tabs>
                <w:tab w:val="left" w:pos="5400"/>
              </w:tabs>
              <w:rPr>
                <w:sz w:val="20"/>
              </w:rPr>
            </w:pPr>
            <w:r>
              <w:rPr>
                <w:sz w:val="20"/>
              </w:rPr>
              <w:t>State specific objectives, including any prespecified hypotheses</w:t>
            </w:r>
          </w:p>
        </w:tc>
        <w:tc>
          <w:tcPr>
            <w:tcW w:w="1559" w:type="dxa"/>
          </w:tcPr>
          <w:p w14:paraId="42B02709">
            <w:pPr>
              <w:tabs>
                <w:tab w:val="left" w:pos="5400"/>
              </w:tabs>
              <w:rPr>
                <w:rFonts w:hint="eastAsia" w:eastAsia="宋体"/>
                <w:sz w:val="20"/>
                <w:lang w:val="en-US" w:eastAsia="zh-CN"/>
              </w:rPr>
            </w:pPr>
            <w:r>
              <w:rPr>
                <w:rFonts w:hint="eastAsia" w:eastAsia="宋体"/>
                <w:sz w:val="20"/>
                <w:lang w:val="en-US" w:eastAsia="zh-CN"/>
              </w:rPr>
              <w:t>3</w:t>
            </w:r>
          </w:p>
        </w:tc>
        <w:tc>
          <w:tcPr>
            <w:tcW w:w="2835" w:type="dxa"/>
          </w:tcPr>
          <w:p w14:paraId="0771E67F">
            <w:pPr>
              <w:tabs>
                <w:tab w:val="left" w:pos="5400"/>
              </w:tabs>
              <w:rPr>
                <w:sz w:val="20"/>
              </w:rPr>
            </w:pPr>
            <w:r>
              <w:rPr>
                <w:rFonts w:hint="eastAsia"/>
                <w:sz w:val="20"/>
              </w:rPr>
              <w:t xml:space="preserve"> </w:t>
            </w:r>
            <w:r>
              <w:rPr>
                <w:rFonts w:hint="eastAsia" w:eastAsia="宋体"/>
                <w:sz w:val="20"/>
                <w:lang w:val="en-US" w:eastAsia="zh-CN"/>
              </w:rPr>
              <w:t>T</w:t>
            </w:r>
            <w:r>
              <w:rPr>
                <w:rFonts w:hint="eastAsia"/>
                <w:sz w:val="20"/>
              </w:rPr>
              <w:t>his study focuses directly on Chinese elderly emergency patients in order to evaluate their sleep patterns and the prevalence of geriatric syndromes within the Chinese emergency setting specifically, and to explore the relationship between sleep quality and various geriatric syndromes. We hope that this study will encourage medical staff to pay greater attention to the sleep status and geriatric syndromes of elderly emergency patients, thereby improving the quality of medical care for this vulnerable group.</w:t>
            </w:r>
          </w:p>
        </w:tc>
      </w:tr>
      <w:bookmarkEnd w:id="19"/>
      <w:bookmarkEnd w:id="20"/>
      <w:tr w14:paraId="476585B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792005F7">
            <w:pPr>
              <w:pStyle w:val="168"/>
              <w:tabs>
                <w:tab w:val="left" w:pos="5400"/>
              </w:tabs>
              <w:rPr>
                <w:sz w:val="20"/>
              </w:rPr>
            </w:pPr>
            <w:bookmarkStart w:id="21" w:name="bold11"/>
            <w:bookmarkStart w:id="22" w:name="italic12"/>
            <w:r>
              <w:rPr>
                <w:sz w:val="20"/>
              </w:rPr>
              <w:t>Methods</w:t>
            </w:r>
          </w:p>
          <w:bookmarkEnd w:id="21"/>
          <w:bookmarkEnd w:id="22"/>
        </w:tc>
        <w:tc>
          <w:tcPr>
            <w:tcW w:w="2835" w:type="dxa"/>
          </w:tcPr>
          <w:p w14:paraId="35EF4DB5">
            <w:pPr>
              <w:pStyle w:val="168"/>
              <w:tabs>
                <w:tab w:val="left" w:pos="5400"/>
              </w:tabs>
              <w:rPr>
                <w:sz w:val="20"/>
              </w:rPr>
            </w:pPr>
          </w:p>
        </w:tc>
      </w:tr>
      <w:tr w14:paraId="27FB47B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8F7F74A">
            <w:pPr>
              <w:tabs>
                <w:tab w:val="left" w:pos="5400"/>
              </w:tabs>
              <w:rPr>
                <w:bCs/>
                <w:sz w:val="20"/>
              </w:rPr>
            </w:pPr>
            <w:bookmarkStart w:id="23" w:name="italic13" w:colFirst="0" w:colLast="0"/>
            <w:bookmarkStart w:id="24" w:name="bold12" w:colFirst="0" w:colLast="0"/>
            <w:r>
              <w:rPr>
                <w:bCs/>
                <w:sz w:val="20"/>
              </w:rPr>
              <w:t>Study design</w:t>
            </w:r>
          </w:p>
        </w:tc>
        <w:tc>
          <w:tcPr>
            <w:tcW w:w="616" w:type="dxa"/>
          </w:tcPr>
          <w:p w14:paraId="1876A789">
            <w:pPr>
              <w:tabs>
                <w:tab w:val="left" w:pos="5400"/>
              </w:tabs>
              <w:jc w:val="center"/>
              <w:rPr>
                <w:sz w:val="20"/>
              </w:rPr>
            </w:pPr>
            <w:r>
              <w:rPr>
                <w:sz w:val="20"/>
              </w:rPr>
              <w:t>4</w:t>
            </w:r>
          </w:p>
        </w:tc>
        <w:tc>
          <w:tcPr>
            <w:tcW w:w="8031" w:type="dxa"/>
          </w:tcPr>
          <w:p w14:paraId="602A26E0">
            <w:pPr>
              <w:tabs>
                <w:tab w:val="left" w:pos="5400"/>
              </w:tabs>
              <w:rPr>
                <w:sz w:val="20"/>
              </w:rPr>
            </w:pPr>
            <w:r>
              <w:rPr>
                <w:sz w:val="20"/>
              </w:rPr>
              <w:t>Present key elements of study design early in the paper</w:t>
            </w:r>
          </w:p>
        </w:tc>
        <w:tc>
          <w:tcPr>
            <w:tcW w:w="1559" w:type="dxa"/>
          </w:tcPr>
          <w:p w14:paraId="561FBD12">
            <w:pPr>
              <w:tabs>
                <w:tab w:val="left" w:pos="5400"/>
              </w:tabs>
              <w:rPr>
                <w:rFonts w:hint="eastAsia" w:eastAsia="宋体"/>
                <w:sz w:val="20"/>
                <w:lang w:val="en-US" w:eastAsia="zh-CN"/>
              </w:rPr>
            </w:pPr>
            <w:r>
              <w:rPr>
                <w:rFonts w:hint="eastAsia" w:eastAsia="宋体"/>
                <w:sz w:val="20"/>
                <w:lang w:val="en-US" w:eastAsia="zh-CN"/>
              </w:rPr>
              <w:t>4</w:t>
            </w:r>
          </w:p>
        </w:tc>
        <w:tc>
          <w:tcPr>
            <w:tcW w:w="2835" w:type="dxa"/>
          </w:tcPr>
          <w:p w14:paraId="1811C5E7">
            <w:pPr>
              <w:tabs>
                <w:tab w:val="left" w:pos="5400"/>
              </w:tabs>
              <w:rPr>
                <w:sz w:val="20"/>
              </w:rPr>
            </w:pPr>
            <w:r>
              <w:rPr>
                <w:rFonts w:hint="eastAsia"/>
                <w:sz w:val="20"/>
              </w:rPr>
              <w:t>We recruited elderly patients from the emergency department of Yueyang Central Hospital in Hunan Province using a convenience sampling method from July to November, 2023.</w:t>
            </w:r>
          </w:p>
        </w:tc>
      </w:tr>
      <w:bookmarkEnd w:id="23"/>
      <w:bookmarkEnd w:id="24"/>
      <w:tr w14:paraId="225853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153A830">
            <w:pPr>
              <w:tabs>
                <w:tab w:val="left" w:pos="5400"/>
              </w:tabs>
              <w:rPr>
                <w:bCs/>
                <w:sz w:val="20"/>
              </w:rPr>
            </w:pPr>
            <w:bookmarkStart w:id="25" w:name="italic14" w:colFirst="0" w:colLast="0"/>
            <w:bookmarkStart w:id="26" w:name="bold13" w:colFirst="0" w:colLast="0"/>
            <w:r>
              <w:rPr>
                <w:bCs/>
                <w:sz w:val="20"/>
              </w:rPr>
              <w:t>Setting</w:t>
            </w:r>
          </w:p>
        </w:tc>
        <w:tc>
          <w:tcPr>
            <w:tcW w:w="616" w:type="dxa"/>
          </w:tcPr>
          <w:p w14:paraId="18D594A5">
            <w:pPr>
              <w:tabs>
                <w:tab w:val="left" w:pos="5400"/>
              </w:tabs>
              <w:jc w:val="center"/>
              <w:rPr>
                <w:sz w:val="20"/>
              </w:rPr>
            </w:pPr>
            <w:r>
              <w:rPr>
                <w:sz w:val="20"/>
              </w:rPr>
              <w:t>5</w:t>
            </w:r>
          </w:p>
        </w:tc>
        <w:tc>
          <w:tcPr>
            <w:tcW w:w="8031" w:type="dxa"/>
          </w:tcPr>
          <w:p w14:paraId="60BCAF60">
            <w:pPr>
              <w:tabs>
                <w:tab w:val="left" w:pos="5400"/>
              </w:tabs>
              <w:rPr>
                <w:sz w:val="20"/>
              </w:rPr>
            </w:pPr>
            <w:r>
              <w:rPr>
                <w:sz w:val="20"/>
              </w:rPr>
              <w:t>Describe the setting, locations, and relevant dates, including periods of recruitment, exposure, follow-up, and data collection</w:t>
            </w:r>
          </w:p>
        </w:tc>
        <w:tc>
          <w:tcPr>
            <w:tcW w:w="1559" w:type="dxa"/>
          </w:tcPr>
          <w:p w14:paraId="2C847AEA">
            <w:pPr>
              <w:tabs>
                <w:tab w:val="left" w:pos="5400"/>
              </w:tabs>
              <w:rPr>
                <w:rFonts w:hint="eastAsia" w:eastAsia="宋体"/>
                <w:sz w:val="20"/>
                <w:lang w:val="en-US" w:eastAsia="zh-CN"/>
              </w:rPr>
            </w:pPr>
            <w:r>
              <w:rPr>
                <w:rFonts w:hint="eastAsia" w:eastAsia="宋体"/>
                <w:sz w:val="20"/>
                <w:lang w:val="en-US" w:eastAsia="zh-CN"/>
              </w:rPr>
              <w:t>4</w:t>
            </w:r>
          </w:p>
        </w:tc>
        <w:tc>
          <w:tcPr>
            <w:tcW w:w="2835" w:type="dxa"/>
          </w:tcPr>
          <w:p w14:paraId="1D776A61">
            <w:pPr>
              <w:tabs>
                <w:tab w:val="left" w:pos="5400"/>
              </w:tabs>
              <w:rPr>
                <w:sz w:val="20"/>
              </w:rPr>
            </w:pPr>
            <w:r>
              <w:rPr>
                <w:rFonts w:hint="eastAsia"/>
                <w:sz w:val="20"/>
              </w:rPr>
              <w:t>We recruited elderly patients from the emergency department of Yueyang Central Hospital in Hunan Province using a convenience sampling method from July to November, 2023.</w:t>
            </w:r>
          </w:p>
        </w:tc>
      </w:tr>
      <w:bookmarkEnd w:id="25"/>
      <w:bookmarkEnd w:id="26"/>
      <w:tr w14:paraId="6DBE282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5AE444AE">
            <w:pPr>
              <w:tabs>
                <w:tab w:val="left" w:pos="5400"/>
              </w:tabs>
              <w:rPr>
                <w:bCs/>
                <w:sz w:val="20"/>
              </w:rPr>
            </w:pPr>
            <w:r>
              <w:rPr>
                <w:bCs/>
                <w:sz w:val="20"/>
              </w:rPr>
              <w:t>Participants</w:t>
            </w:r>
          </w:p>
        </w:tc>
        <w:tc>
          <w:tcPr>
            <w:tcW w:w="616" w:type="dxa"/>
            <w:vMerge w:val="restart"/>
          </w:tcPr>
          <w:p w14:paraId="52CA5CD4">
            <w:pPr>
              <w:tabs>
                <w:tab w:val="left" w:pos="5400"/>
              </w:tabs>
              <w:jc w:val="center"/>
              <w:rPr>
                <w:sz w:val="20"/>
              </w:rPr>
            </w:pPr>
            <w:r>
              <w:rPr>
                <w:sz w:val="20"/>
              </w:rPr>
              <w:t>6</w:t>
            </w:r>
          </w:p>
        </w:tc>
        <w:tc>
          <w:tcPr>
            <w:tcW w:w="8031" w:type="dxa"/>
          </w:tcPr>
          <w:p w14:paraId="365D026C">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1DB6AD9C">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3AEACD6A">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14:paraId="56FAA171">
            <w:pPr>
              <w:tabs>
                <w:tab w:val="left" w:pos="5400"/>
              </w:tabs>
              <w:rPr>
                <w:rFonts w:hint="eastAsia" w:eastAsia="宋体"/>
                <w:sz w:val="20"/>
                <w:lang w:val="en-US" w:eastAsia="zh-CN"/>
              </w:rPr>
            </w:pPr>
            <w:r>
              <w:rPr>
                <w:rFonts w:hint="eastAsia" w:eastAsia="宋体"/>
                <w:sz w:val="20"/>
                <w:lang w:val="en-US" w:eastAsia="zh-CN"/>
              </w:rPr>
              <w:t>4</w:t>
            </w:r>
          </w:p>
        </w:tc>
        <w:tc>
          <w:tcPr>
            <w:tcW w:w="2835" w:type="dxa"/>
          </w:tcPr>
          <w:p w14:paraId="4B026663">
            <w:pPr>
              <w:tabs>
                <w:tab w:val="left" w:pos="5400"/>
              </w:tabs>
              <w:rPr>
                <w:sz w:val="20"/>
              </w:rPr>
            </w:pPr>
            <w:r>
              <w:rPr>
                <w:rFonts w:hint="eastAsia"/>
                <w:sz w:val="20"/>
              </w:rPr>
              <w:t>The sole inclusion criterion was: age ≥ 60 years, and the exclusion criteria were: severe physical conditions that posed an immediate threat to life and required emergency intervention. Information regarding the research procedures, objectives, related risks, and potential benefits was provided to eligible all elderly patients.</w:t>
            </w:r>
          </w:p>
        </w:tc>
      </w:tr>
      <w:tr w14:paraId="14AF92A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61F6952C">
            <w:pPr>
              <w:tabs>
                <w:tab w:val="left" w:pos="5400"/>
              </w:tabs>
              <w:rPr>
                <w:bCs/>
                <w:sz w:val="20"/>
              </w:rPr>
            </w:pPr>
            <w:bookmarkStart w:id="27" w:name="bold14" w:colFirst="0" w:colLast="0"/>
            <w:bookmarkStart w:id="28" w:name="italic15" w:colFirst="0" w:colLast="0"/>
          </w:p>
        </w:tc>
        <w:tc>
          <w:tcPr>
            <w:tcW w:w="616" w:type="dxa"/>
            <w:vMerge w:val="continue"/>
          </w:tcPr>
          <w:p w14:paraId="10D1D702">
            <w:pPr>
              <w:tabs>
                <w:tab w:val="left" w:pos="5400"/>
              </w:tabs>
              <w:jc w:val="center"/>
              <w:rPr>
                <w:sz w:val="20"/>
              </w:rPr>
            </w:pPr>
          </w:p>
        </w:tc>
        <w:tc>
          <w:tcPr>
            <w:tcW w:w="8031" w:type="dxa"/>
          </w:tcPr>
          <w:p w14:paraId="5CC99355">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20BFC380">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14:paraId="5F382F31">
            <w:pPr>
              <w:tabs>
                <w:tab w:val="left" w:pos="5400"/>
              </w:tabs>
              <w:rPr>
                <w:sz w:val="20"/>
              </w:rPr>
            </w:pPr>
          </w:p>
        </w:tc>
        <w:tc>
          <w:tcPr>
            <w:tcW w:w="2835" w:type="dxa"/>
          </w:tcPr>
          <w:p w14:paraId="35C300C4">
            <w:pPr>
              <w:tabs>
                <w:tab w:val="left" w:pos="5400"/>
              </w:tabs>
              <w:rPr>
                <w:sz w:val="20"/>
              </w:rPr>
            </w:pPr>
          </w:p>
        </w:tc>
      </w:tr>
      <w:bookmarkEnd w:id="27"/>
      <w:bookmarkEnd w:id="28"/>
      <w:tr w14:paraId="2F391D9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095906E">
            <w:pPr>
              <w:tabs>
                <w:tab w:val="left" w:pos="5400"/>
              </w:tabs>
              <w:rPr>
                <w:bCs/>
                <w:sz w:val="20"/>
              </w:rPr>
            </w:pPr>
            <w:bookmarkStart w:id="29" w:name="italic17" w:colFirst="0" w:colLast="0"/>
            <w:bookmarkStart w:id="30" w:name="bold16" w:colFirst="0" w:colLast="0"/>
            <w:r>
              <w:rPr>
                <w:bCs/>
                <w:sz w:val="20"/>
              </w:rPr>
              <w:t>Variables</w:t>
            </w:r>
          </w:p>
        </w:tc>
        <w:tc>
          <w:tcPr>
            <w:tcW w:w="616" w:type="dxa"/>
          </w:tcPr>
          <w:p w14:paraId="0680E326">
            <w:pPr>
              <w:tabs>
                <w:tab w:val="left" w:pos="5400"/>
              </w:tabs>
              <w:jc w:val="center"/>
              <w:rPr>
                <w:sz w:val="20"/>
              </w:rPr>
            </w:pPr>
            <w:r>
              <w:rPr>
                <w:sz w:val="20"/>
              </w:rPr>
              <w:t>7</w:t>
            </w:r>
          </w:p>
        </w:tc>
        <w:tc>
          <w:tcPr>
            <w:tcW w:w="8031" w:type="dxa"/>
          </w:tcPr>
          <w:p w14:paraId="2B74FBEA">
            <w:pPr>
              <w:tabs>
                <w:tab w:val="left" w:pos="5400"/>
              </w:tabs>
              <w:rPr>
                <w:sz w:val="20"/>
              </w:rPr>
            </w:pPr>
            <w:r>
              <w:rPr>
                <w:sz w:val="20"/>
              </w:rPr>
              <w:t>Clearly define all outcomes, exposures, predictors, potential confounders, and effect modifiers. Give diagnostic criteria, if applicable</w:t>
            </w:r>
          </w:p>
        </w:tc>
        <w:tc>
          <w:tcPr>
            <w:tcW w:w="1559" w:type="dxa"/>
          </w:tcPr>
          <w:p w14:paraId="71A85C3A">
            <w:pPr>
              <w:tabs>
                <w:tab w:val="left" w:pos="5400"/>
              </w:tabs>
              <w:rPr>
                <w:rFonts w:hint="eastAsia" w:eastAsia="宋体"/>
                <w:sz w:val="20"/>
                <w:lang w:val="en-US" w:eastAsia="zh-CN"/>
              </w:rPr>
            </w:pPr>
            <w:r>
              <w:rPr>
                <w:rFonts w:hint="eastAsia" w:eastAsia="宋体"/>
                <w:sz w:val="20"/>
                <w:lang w:val="en-US" w:eastAsia="zh-CN"/>
              </w:rPr>
              <w:t>5</w:t>
            </w:r>
          </w:p>
        </w:tc>
        <w:tc>
          <w:tcPr>
            <w:tcW w:w="2835" w:type="dxa"/>
          </w:tcPr>
          <w:p w14:paraId="150E3681">
            <w:pPr>
              <w:tabs>
                <w:tab w:val="left" w:pos="5400"/>
              </w:tabs>
              <w:rPr>
                <w:rFonts w:hint="eastAsia"/>
                <w:sz w:val="20"/>
              </w:rPr>
            </w:pPr>
            <w:r>
              <w:rPr>
                <w:rFonts w:hint="eastAsia"/>
                <w:sz w:val="20"/>
              </w:rPr>
              <w:t>Variable Definitions and Criteria</w:t>
            </w:r>
          </w:p>
          <w:p w14:paraId="49DBF4D0">
            <w:pPr>
              <w:tabs>
                <w:tab w:val="left" w:pos="5400"/>
              </w:tabs>
              <w:rPr>
                <w:rFonts w:hint="eastAsia"/>
                <w:sz w:val="20"/>
              </w:rPr>
            </w:pPr>
            <w:r>
              <w:rPr>
                <w:rFonts w:hint="eastAsia"/>
                <w:sz w:val="20"/>
              </w:rPr>
              <w:t>(1) BMI Group: &lt;18.5 kg/m² was underweight, 18.5-23.9 kg/m² was normal weight, 24.0-27.9 kg/m² was overweight, and ≥28.0 kg/m² was obese.</w:t>
            </w:r>
          </w:p>
          <w:p w14:paraId="29F51600">
            <w:pPr>
              <w:tabs>
                <w:tab w:val="left" w:pos="5400"/>
              </w:tabs>
              <w:rPr>
                <w:rFonts w:hint="eastAsia"/>
                <w:sz w:val="20"/>
              </w:rPr>
            </w:pPr>
            <w:r>
              <w:rPr>
                <w:rFonts w:hint="eastAsia"/>
                <w:sz w:val="20"/>
              </w:rPr>
              <w:t>(2) Frailty Status: Participants were categorized into three groups based on the frailty score: frail (≥3 points), pre-frail (1-2 points), and non-frail (0 points). In this study, pre-frail and frail participants were combined into the frail group.</w:t>
            </w:r>
          </w:p>
          <w:p w14:paraId="0BC5BA3F">
            <w:pPr>
              <w:tabs>
                <w:tab w:val="left" w:pos="5400"/>
              </w:tabs>
              <w:rPr>
                <w:rFonts w:hint="eastAsia"/>
                <w:sz w:val="20"/>
              </w:rPr>
            </w:pPr>
            <w:r>
              <w:rPr>
                <w:rFonts w:hint="eastAsia"/>
                <w:sz w:val="20"/>
              </w:rPr>
              <w:t>(3) Sarcopenia Screening: A score of ≥4 indicated a positive screening for sarcopenia, and &lt;4 indicated a negative screening.</w:t>
            </w:r>
          </w:p>
          <w:p w14:paraId="3DB8A112">
            <w:pPr>
              <w:tabs>
                <w:tab w:val="left" w:pos="5400"/>
              </w:tabs>
              <w:rPr>
                <w:rFonts w:hint="eastAsia"/>
                <w:sz w:val="20"/>
              </w:rPr>
            </w:pPr>
            <w:r>
              <w:rPr>
                <w:rFonts w:hint="eastAsia"/>
                <w:sz w:val="20"/>
              </w:rPr>
              <w:t>(4) Nutritional Assessment Criteria: ≤14 points indicated increased nutritional risk, and &gt;14 points indicated no nutritional risk.</w:t>
            </w:r>
          </w:p>
          <w:p w14:paraId="184B2072">
            <w:pPr>
              <w:tabs>
                <w:tab w:val="left" w:pos="5400"/>
              </w:tabs>
              <w:rPr>
                <w:sz w:val="20"/>
              </w:rPr>
            </w:pPr>
            <w:r>
              <w:rPr>
                <w:rFonts w:hint="eastAsia"/>
                <w:sz w:val="20"/>
              </w:rPr>
              <w:t>(5) Cognitive Status: Cognitive status was assessed as follows: normal (8-10 points), mild cognitive impairment (6-7 points), and dementia (0-5 points). In this study, participants with mild cognitive impairment and dementia were combined into the cognitive impairment group.</w:t>
            </w:r>
          </w:p>
        </w:tc>
      </w:tr>
      <w:bookmarkEnd w:id="29"/>
      <w:bookmarkEnd w:id="30"/>
      <w:tr w14:paraId="3D4D695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53E8B0D9">
            <w:pPr>
              <w:tabs>
                <w:tab w:val="left" w:pos="5400"/>
              </w:tabs>
              <w:rPr>
                <w:bCs/>
                <w:sz w:val="20"/>
              </w:rPr>
            </w:pPr>
            <w:bookmarkStart w:id="31" w:name="italic18"/>
            <w:bookmarkStart w:id="32" w:name="bold17"/>
            <w:r>
              <w:rPr>
                <w:bCs/>
                <w:sz w:val="20"/>
              </w:rPr>
              <w:t>Data sources/</w:t>
            </w:r>
            <w:bookmarkEnd w:id="31"/>
            <w:bookmarkEnd w:id="32"/>
            <w:bookmarkStart w:id="33" w:name="bold18"/>
            <w:bookmarkStart w:id="34" w:name="italic19"/>
            <w:r>
              <w:rPr>
                <w:bCs/>
                <w:sz w:val="20"/>
              </w:rPr>
              <w:t xml:space="preserve"> measurement</w:t>
            </w:r>
            <w:bookmarkEnd w:id="33"/>
            <w:bookmarkEnd w:id="34"/>
          </w:p>
        </w:tc>
        <w:tc>
          <w:tcPr>
            <w:tcW w:w="616" w:type="dxa"/>
          </w:tcPr>
          <w:p w14:paraId="35DD1A4C">
            <w:pPr>
              <w:tabs>
                <w:tab w:val="left" w:pos="5400"/>
              </w:tabs>
              <w:jc w:val="center"/>
              <w:rPr>
                <w:sz w:val="20"/>
              </w:rPr>
            </w:pPr>
            <w:r>
              <w:rPr>
                <w:sz w:val="20"/>
              </w:rPr>
              <w:t>8</w:t>
            </w:r>
            <w:bookmarkStart w:id="35" w:name="bold19"/>
            <w:r>
              <w:rPr>
                <w:bCs/>
                <w:sz w:val="20"/>
              </w:rPr>
              <w:t>*</w:t>
            </w:r>
            <w:bookmarkEnd w:id="35"/>
          </w:p>
        </w:tc>
        <w:tc>
          <w:tcPr>
            <w:tcW w:w="8031" w:type="dxa"/>
          </w:tcPr>
          <w:p w14:paraId="21459802">
            <w:pPr>
              <w:tabs>
                <w:tab w:val="left" w:pos="5400"/>
              </w:tabs>
              <w:rPr>
                <w:rFonts w:hint="eastAsia"/>
                <w:sz w:val="20"/>
              </w:rPr>
            </w:pPr>
            <w:r>
              <w:rPr>
                <w:rFonts w:hint="eastAsia"/>
                <w:sz w:val="20"/>
              </w:rPr>
              <w:t xml:space="preserve"> For each variable of interest, give sources of data and details of methods of assessment (measurement). Describe comparability of assessment methods if there is more than one group</w:t>
            </w:r>
          </w:p>
        </w:tc>
        <w:tc>
          <w:tcPr>
            <w:tcW w:w="1559" w:type="dxa"/>
          </w:tcPr>
          <w:p w14:paraId="318A2CE0">
            <w:pPr>
              <w:tabs>
                <w:tab w:val="left" w:pos="5400"/>
              </w:tabs>
              <w:rPr>
                <w:rFonts w:hint="default"/>
                <w:sz w:val="20"/>
                <w:lang w:val="en-US" w:eastAsia="zh-CN"/>
              </w:rPr>
            </w:pPr>
            <w:r>
              <w:rPr>
                <w:rFonts w:hint="eastAsia"/>
                <w:sz w:val="20"/>
                <w:lang w:val="en-US" w:eastAsia="zh-CN"/>
              </w:rPr>
              <w:t>5</w:t>
            </w:r>
          </w:p>
        </w:tc>
        <w:tc>
          <w:tcPr>
            <w:tcW w:w="2835" w:type="dxa"/>
          </w:tcPr>
          <w:p w14:paraId="539532A2">
            <w:pPr>
              <w:tabs>
                <w:tab w:val="left" w:pos="5400"/>
              </w:tabs>
              <w:rPr>
                <w:rFonts w:hint="eastAsia"/>
                <w:sz w:val="20"/>
              </w:rPr>
            </w:pPr>
            <w:r>
              <w:rPr>
                <w:rFonts w:hint="eastAsia"/>
                <w:sz w:val="20"/>
              </w:rPr>
              <w:t>S</w:t>
            </w:r>
            <w:r>
              <w:rPr>
                <w:rFonts w:hint="eastAsia"/>
                <w:sz w:val="20"/>
              </w:rPr>
              <w:t>leep Assessment</w:t>
            </w:r>
            <w:r>
              <w:rPr>
                <w:rFonts w:hint="eastAsia" w:eastAsia="宋体"/>
                <w:sz w:val="20"/>
                <w:lang w:eastAsia="zh-CN"/>
              </w:rPr>
              <w:t>：</w:t>
            </w:r>
            <w:r>
              <w:rPr>
                <w:rFonts w:hint="eastAsia"/>
                <w:sz w:val="20"/>
              </w:rPr>
              <w:t>We utilized four questions to assess the sleep status of the patients. Sleep duration was evaluated using the question "How many hours do you sleep each night?" Participants were categorized into three groups based on their self-reported sleep duration: insufficient sleep (≤ 6 hours), normal sleep (6-8 hours), and excessive sleep (≥ 9 hours). Daytime sleepiness and sleep quality were self-assessed by patients based on their experiences over the past month. If these symptoms occurred at least three times per week, participants circled the corresponding self-assessment result. The use of sleeping pills was also self-reported by patients based on their usage in the past month and was categorized into three groups: no use, occasional use, and long-term use.</w:t>
            </w:r>
          </w:p>
          <w:p w14:paraId="6E4DB1AA">
            <w:pPr>
              <w:tabs>
                <w:tab w:val="left" w:pos="5400"/>
              </w:tabs>
              <w:rPr>
                <w:i/>
                <w:sz w:val="20"/>
              </w:rPr>
            </w:pPr>
            <w:r>
              <w:rPr>
                <w:rFonts w:hint="eastAsia"/>
                <w:sz w:val="20"/>
              </w:rPr>
              <w:t>Geriatric Syndrome Assessment</w:t>
            </w:r>
            <w:r>
              <w:rPr>
                <w:rFonts w:hint="eastAsia" w:eastAsia="宋体"/>
                <w:sz w:val="20"/>
                <w:lang w:eastAsia="zh-CN"/>
              </w:rPr>
              <w:t>：</w:t>
            </w:r>
            <w:r>
              <w:rPr>
                <w:rFonts w:hint="eastAsia"/>
                <w:sz w:val="20"/>
              </w:rPr>
              <w:t>The Rapid Geriatric Assessment (RGA) is widely utilized to evaluate geriatric syndromes in elderly emergency patients. This scale was developed by Morley based on the Comprehensive Geriatric Assessment (CGA) and comprises four subscales: FRAIL, SARC-F, Simplified Nutritional Appetite Questionnaire (SNAQ), and Rapid Cognitive Screen (RCS), totaling 18 items. It primarily assesses core health issues in elderly patients and can be completed within 4 minutes. In 2019, Ma Lin translated the RGA scale into Chinese. The item-level content validity index (I-CVI) of the Chinese version ranges from 0.800 to 1.000, with a scale-level content validity index (S-CVI) of 0.988. The Cronbach's α coefficients for the four subscales are 0.511, 0.758, 0.809, and 0.663, respectively.</w:t>
            </w:r>
          </w:p>
        </w:tc>
      </w:tr>
      <w:tr w14:paraId="4642C6A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9DC2BF5">
            <w:pPr>
              <w:tabs>
                <w:tab w:val="left" w:pos="5400"/>
              </w:tabs>
              <w:rPr>
                <w:bCs/>
                <w:color w:val="000000"/>
                <w:sz w:val="20"/>
              </w:rPr>
            </w:pPr>
            <w:bookmarkStart w:id="36" w:name="bold20" w:colFirst="0" w:colLast="0"/>
            <w:bookmarkStart w:id="37" w:name="italic20" w:colFirst="0" w:colLast="0"/>
            <w:r>
              <w:rPr>
                <w:bCs/>
                <w:color w:val="000000"/>
                <w:sz w:val="20"/>
              </w:rPr>
              <w:t>Bias</w:t>
            </w:r>
          </w:p>
        </w:tc>
        <w:tc>
          <w:tcPr>
            <w:tcW w:w="616" w:type="dxa"/>
          </w:tcPr>
          <w:p w14:paraId="29A90A05">
            <w:pPr>
              <w:tabs>
                <w:tab w:val="left" w:pos="5400"/>
              </w:tabs>
              <w:jc w:val="center"/>
              <w:rPr>
                <w:sz w:val="20"/>
              </w:rPr>
            </w:pPr>
            <w:r>
              <w:rPr>
                <w:sz w:val="20"/>
              </w:rPr>
              <w:t>9</w:t>
            </w:r>
          </w:p>
        </w:tc>
        <w:tc>
          <w:tcPr>
            <w:tcW w:w="8031" w:type="dxa"/>
          </w:tcPr>
          <w:p w14:paraId="7B8101CC">
            <w:pPr>
              <w:tabs>
                <w:tab w:val="left" w:pos="5400"/>
              </w:tabs>
              <w:rPr>
                <w:color w:val="000000"/>
                <w:sz w:val="20"/>
              </w:rPr>
            </w:pPr>
            <w:r>
              <w:rPr>
                <w:color w:val="000000"/>
                <w:sz w:val="20"/>
              </w:rPr>
              <w:t>Describe any efforts to address potential sources of bias</w:t>
            </w:r>
          </w:p>
        </w:tc>
        <w:tc>
          <w:tcPr>
            <w:tcW w:w="1559" w:type="dxa"/>
          </w:tcPr>
          <w:p w14:paraId="5D404A62">
            <w:pPr>
              <w:tabs>
                <w:tab w:val="left" w:pos="5400"/>
              </w:tabs>
              <w:rPr>
                <w:color w:val="000000"/>
                <w:sz w:val="20"/>
              </w:rPr>
            </w:pPr>
          </w:p>
        </w:tc>
        <w:tc>
          <w:tcPr>
            <w:tcW w:w="2835" w:type="dxa"/>
          </w:tcPr>
          <w:p w14:paraId="0D8F4BA6">
            <w:pPr>
              <w:tabs>
                <w:tab w:val="left" w:pos="5400"/>
              </w:tabs>
              <w:rPr>
                <w:color w:val="000000"/>
                <w:sz w:val="20"/>
              </w:rPr>
            </w:pPr>
          </w:p>
        </w:tc>
      </w:tr>
      <w:bookmarkEnd w:id="36"/>
      <w:bookmarkEnd w:id="37"/>
      <w:tr w14:paraId="4E60526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1E5C5F88">
            <w:pPr>
              <w:tabs>
                <w:tab w:val="left" w:pos="5400"/>
              </w:tabs>
              <w:rPr>
                <w:bCs/>
                <w:sz w:val="20"/>
              </w:rPr>
            </w:pPr>
            <w:bookmarkStart w:id="38" w:name="bold21" w:colFirst="0" w:colLast="0"/>
            <w:bookmarkStart w:id="39" w:name="italic21" w:colFirst="0" w:colLast="0"/>
            <w:r>
              <w:rPr>
                <w:bCs/>
                <w:sz w:val="20"/>
              </w:rPr>
              <w:t>Study size</w:t>
            </w:r>
          </w:p>
        </w:tc>
        <w:tc>
          <w:tcPr>
            <w:tcW w:w="616" w:type="dxa"/>
          </w:tcPr>
          <w:p w14:paraId="0AA1252B">
            <w:pPr>
              <w:tabs>
                <w:tab w:val="left" w:pos="5400"/>
              </w:tabs>
              <w:jc w:val="center"/>
              <w:rPr>
                <w:sz w:val="20"/>
              </w:rPr>
            </w:pPr>
            <w:r>
              <w:rPr>
                <w:sz w:val="20"/>
              </w:rPr>
              <w:t>10</w:t>
            </w:r>
          </w:p>
        </w:tc>
        <w:tc>
          <w:tcPr>
            <w:tcW w:w="8031" w:type="dxa"/>
          </w:tcPr>
          <w:p w14:paraId="14909F39">
            <w:pPr>
              <w:tabs>
                <w:tab w:val="left" w:pos="5400"/>
              </w:tabs>
              <w:rPr>
                <w:sz w:val="20"/>
              </w:rPr>
            </w:pPr>
            <w:r>
              <w:rPr>
                <w:sz w:val="20"/>
              </w:rPr>
              <w:t>Explain how the study size was arrived at</w:t>
            </w:r>
          </w:p>
        </w:tc>
        <w:tc>
          <w:tcPr>
            <w:tcW w:w="1559" w:type="dxa"/>
          </w:tcPr>
          <w:p w14:paraId="2322F237">
            <w:pPr>
              <w:tabs>
                <w:tab w:val="left" w:pos="5400"/>
              </w:tabs>
              <w:rPr>
                <w:rFonts w:hint="eastAsia" w:eastAsia="宋体"/>
                <w:sz w:val="20"/>
                <w:lang w:val="en-US" w:eastAsia="zh-CN"/>
              </w:rPr>
            </w:pPr>
            <w:r>
              <w:rPr>
                <w:rFonts w:hint="eastAsia" w:eastAsia="宋体"/>
                <w:sz w:val="20"/>
                <w:lang w:val="en-US" w:eastAsia="zh-CN"/>
              </w:rPr>
              <w:t>4</w:t>
            </w:r>
          </w:p>
        </w:tc>
        <w:tc>
          <w:tcPr>
            <w:tcW w:w="2835" w:type="dxa"/>
          </w:tcPr>
          <w:p w14:paraId="2F7E0D1D">
            <w:pPr>
              <w:tabs>
                <w:tab w:val="left" w:pos="5400"/>
              </w:tabs>
              <w:rPr>
                <w:sz w:val="20"/>
              </w:rPr>
            </w:pPr>
            <w:r>
              <w:rPr>
                <w:rFonts w:hint="eastAsia"/>
                <w:sz w:val="20"/>
              </w:rPr>
              <w:t>According to Kendall's method for rough sample size estimation, the sample size should be at least 5 to 10 times the number of variables. In this study, with 15 variables, the recommended sample size would range from 75 to 150. A total of 205 elderly patients were ultimately included.</w:t>
            </w:r>
          </w:p>
        </w:tc>
      </w:tr>
      <w:bookmarkEnd w:id="38"/>
      <w:bookmarkEnd w:id="39"/>
    </w:tbl>
    <w:p w14:paraId="1A9609A8">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22C455B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1A2641FC">
            <w:pPr>
              <w:tabs>
                <w:tab w:val="left" w:pos="5400"/>
              </w:tabs>
              <w:rPr>
                <w:bCs/>
                <w:sz w:val="20"/>
              </w:rPr>
            </w:pPr>
            <w:r>
              <w:rPr>
                <w:bCs/>
                <w:sz w:val="20"/>
              </w:rPr>
              <w:t>Quantitative</w:t>
            </w:r>
            <w:bookmarkEnd w:id="40"/>
            <w:bookmarkEnd w:id="41"/>
            <w:bookmarkStart w:id="42" w:name="italic23"/>
            <w:bookmarkStart w:id="43" w:name="bold23"/>
            <w:r>
              <w:rPr>
                <w:bCs/>
                <w:sz w:val="20"/>
              </w:rPr>
              <w:t xml:space="preserve"> variables</w:t>
            </w:r>
            <w:bookmarkEnd w:id="42"/>
            <w:bookmarkEnd w:id="43"/>
          </w:p>
        </w:tc>
        <w:tc>
          <w:tcPr>
            <w:tcW w:w="749" w:type="dxa"/>
          </w:tcPr>
          <w:p w14:paraId="29F09FEE">
            <w:pPr>
              <w:tabs>
                <w:tab w:val="left" w:pos="5400"/>
              </w:tabs>
              <w:jc w:val="center"/>
              <w:rPr>
                <w:sz w:val="20"/>
              </w:rPr>
            </w:pPr>
            <w:r>
              <w:rPr>
                <w:sz w:val="20"/>
              </w:rPr>
              <w:t>11</w:t>
            </w:r>
          </w:p>
        </w:tc>
        <w:tc>
          <w:tcPr>
            <w:tcW w:w="8328" w:type="dxa"/>
          </w:tcPr>
          <w:p w14:paraId="7F272B24">
            <w:pPr>
              <w:tabs>
                <w:tab w:val="left" w:pos="5400"/>
              </w:tabs>
              <w:rPr>
                <w:sz w:val="20"/>
              </w:rPr>
            </w:pPr>
            <w:r>
              <w:rPr>
                <w:sz w:val="20"/>
              </w:rPr>
              <w:t>Explain how quantitative variables were handled in the analyses. If applicable, describe which groupings were chosen and why</w:t>
            </w:r>
          </w:p>
        </w:tc>
        <w:tc>
          <w:tcPr>
            <w:tcW w:w="1276" w:type="dxa"/>
            <w:shd w:val="clear"/>
            <w:vAlign w:val="top"/>
          </w:tcPr>
          <w:p w14:paraId="0CD7C908">
            <w:pPr>
              <w:tabs>
                <w:tab w:val="left" w:pos="5400"/>
              </w:tabs>
              <w:rPr>
                <w:rFonts w:hint="eastAsia" w:ascii="Times New Roman" w:hAnsi="Times New Roman" w:eastAsia="宋体" w:cs="Times New Roman"/>
                <w:sz w:val="20"/>
                <w:lang w:val="en-US" w:eastAsia="zh-CN" w:bidi="ar-SA"/>
              </w:rPr>
            </w:pPr>
            <w:r>
              <w:rPr>
                <w:rFonts w:hint="eastAsia" w:eastAsia="宋体"/>
                <w:sz w:val="20"/>
                <w:lang w:val="en-US" w:eastAsia="zh-CN"/>
              </w:rPr>
              <w:t>5</w:t>
            </w:r>
          </w:p>
        </w:tc>
        <w:tc>
          <w:tcPr>
            <w:tcW w:w="3118" w:type="dxa"/>
            <w:shd w:val="clear"/>
            <w:vAlign w:val="top"/>
          </w:tcPr>
          <w:p w14:paraId="74077262">
            <w:pPr>
              <w:tabs>
                <w:tab w:val="left" w:pos="5400"/>
              </w:tabs>
              <w:rPr>
                <w:rFonts w:hint="eastAsia"/>
                <w:sz w:val="20"/>
              </w:rPr>
            </w:pPr>
            <w:r>
              <w:rPr>
                <w:rFonts w:hint="eastAsia"/>
                <w:sz w:val="20"/>
              </w:rPr>
              <w:t>Variable Definitions and Criteria</w:t>
            </w:r>
          </w:p>
          <w:p w14:paraId="3C8EB469">
            <w:pPr>
              <w:tabs>
                <w:tab w:val="left" w:pos="5400"/>
              </w:tabs>
              <w:rPr>
                <w:rFonts w:hint="eastAsia"/>
                <w:sz w:val="20"/>
              </w:rPr>
            </w:pPr>
            <w:r>
              <w:rPr>
                <w:rFonts w:hint="eastAsia"/>
                <w:sz w:val="20"/>
              </w:rPr>
              <w:t>(1) BMI Group: &lt;18.5 kg/m² was underweight, 18.5-23.9 kg/m² was normal weight, 24.0-27.9 kg/m² was overweight, and ≥28.0 kg/m² was obese.</w:t>
            </w:r>
          </w:p>
          <w:p w14:paraId="73FD03D0">
            <w:pPr>
              <w:tabs>
                <w:tab w:val="left" w:pos="5400"/>
              </w:tabs>
              <w:rPr>
                <w:rFonts w:hint="eastAsia"/>
                <w:sz w:val="20"/>
              </w:rPr>
            </w:pPr>
            <w:r>
              <w:rPr>
                <w:rFonts w:hint="eastAsia"/>
                <w:sz w:val="20"/>
              </w:rPr>
              <w:t>(2) Frailty Status: Participants were categorized into three groups based on the frailty score: frail (≥3 points), pre-frail (1-2 points), and non-frail (0 points). In this study, pre-frail and frail participants were combined into the frail group.</w:t>
            </w:r>
          </w:p>
          <w:p w14:paraId="120A6CCE">
            <w:pPr>
              <w:tabs>
                <w:tab w:val="left" w:pos="5400"/>
              </w:tabs>
              <w:rPr>
                <w:rFonts w:hint="eastAsia"/>
                <w:sz w:val="20"/>
              </w:rPr>
            </w:pPr>
            <w:r>
              <w:rPr>
                <w:rFonts w:hint="eastAsia"/>
                <w:sz w:val="20"/>
              </w:rPr>
              <w:t>(3) Sarcopenia Screening: A score of ≥4 indicated a positive screening for sarcopenia, and &lt;4 indicated a negative screening.</w:t>
            </w:r>
          </w:p>
          <w:p w14:paraId="3BBA7E6F">
            <w:pPr>
              <w:tabs>
                <w:tab w:val="left" w:pos="5400"/>
              </w:tabs>
              <w:rPr>
                <w:rFonts w:hint="eastAsia"/>
                <w:sz w:val="20"/>
              </w:rPr>
            </w:pPr>
            <w:r>
              <w:rPr>
                <w:rFonts w:hint="eastAsia"/>
                <w:sz w:val="20"/>
              </w:rPr>
              <w:t>(4) Nutritional Assessment Criteria: ≤14 points indicated increased nutritional risk, and &gt;14 points indicated no nutritional risk.</w:t>
            </w:r>
          </w:p>
          <w:p w14:paraId="48B06F45">
            <w:pPr>
              <w:tabs>
                <w:tab w:val="left" w:pos="5400"/>
              </w:tabs>
              <w:rPr>
                <w:rFonts w:ascii="Times New Roman" w:hAnsi="Times New Roman" w:eastAsia="Times New Roman" w:cs="Times New Roman"/>
                <w:sz w:val="20"/>
                <w:lang w:val="en-GB" w:eastAsia="en-US" w:bidi="ar-SA"/>
              </w:rPr>
            </w:pPr>
            <w:r>
              <w:rPr>
                <w:rFonts w:hint="eastAsia"/>
                <w:sz w:val="20"/>
              </w:rPr>
              <w:t>(5) Cognitive Status: Cognitive status was assessed as follows: normal (8-10 points), mild cognitive impairment (6-7 points), and dementia (0-5 points). In this study, participants with mild cognitive impairment and dementia were combined into the cognitive impairment group.</w:t>
            </w:r>
          </w:p>
        </w:tc>
      </w:tr>
      <w:tr w14:paraId="0C00BE2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14B5F73F">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749" w:type="dxa"/>
            <w:vMerge w:val="restart"/>
          </w:tcPr>
          <w:p w14:paraId="30A94EA1">
            <w:pPr>
              <w:tabs>
                <w:tab w:val="left" w:pos="5400"/>
              </w:tabs>
              <w:jc w:val="center"/>
              <w:rPr>
                <w:sz w:val="20"/>
              </w:rPr>
            </w:pPr>
            <w:r>
              <w:rPr>
                <w:sz w:val="20"/>
              </w:rPr>
              <w:t>12</w:t>
            </w:r>
          </w:p>
        </w:tc>
        <w:tc>
          <w:tcPr>
            <w:tcW w:w="8328" w:type="dxa"/>
          </w:tcPr>
          <w:p w14:paraId="460F68F4">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356C2CA9">
            <w:pPr>
              <w:tabs>
                <w:tab w:val="left" w:pos="5400"/>
              </w:tabs>
              <w:rPr>
                <w:rFonts w:hint="eastAsia" w:eastAsia="宋体"/>
                <w:sz w:val="20"/>
                <w:lang w:val="en-US" w:eastAsia="zh-CN"/>
              </w:rPr>
            </w:pPr>
            <w:r>
              <w:rPr>
                <w:rFonts w:hint="eastAsia" w:eastAsia="宋体"/>
                <w:sz w:val="20"/>
                <w:lang w:val="en-US" w:eastAsia="zh-CN"/>
              </w:rPr>
              <w:t>5</w:t>
            </w:r>
          </w:p>
        </w:tc>
        <w:tc>
          <w:tcPr>
            <w:tcW w:w="3118" w:type="dxa"/>
          </w:tcPr>
          <w:p w14:paraId="6A4389C6">
            <w:pPr>
              <w:tabs>
                <w:tab w:val="left" w:pos="5400"/>
              </w:tabs>
              <w:rPr>
                <w:sz w:val="20"/>
              </w:rPr>
            </w:pPr>
            <w:r>
              <w:rPr>
                <w:rFonts w:hint="eastAsia"/>
                <w:sz w:val="20"/>
              </w:rPr>
              <w:t xml:space="preserve">All scale survey data were entered into a database using EpiData 3.1 and analyzed statistically with SPSS 24.0. Categorical data were expressed as frequencies and proportions, and continuous data were presented as means ± standard deviations. Statistical methods included descriptive statistical analysis, χ² tests, logistic regression analysis, and others, and all test results were considered statistically significant if P &lt; 0.05. A logistic regression model adjusted for age, gender, marital status, education level, and the number of comorbidities was used to evaluate the odds ratios (OR) and construct 95% confidence intervals (CI) for the association between sleep and different geriatric syndromes. </w:t>
            </w:r>
          </w:p>
        </w:tc>
      </w:tr>
      <w:tr w14:paraId="15E9F2D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1EB941A4">
            <w:pPr>
              <w:tabs>
                <w:tab w:val="left" w:pos="5400"/>
              </w:tabs>
              <w:rPr>
                <w:bCs/>
                <w:sz w:val="20"/>
              </w:rPr>
            </w:pPr>
            <w:bookmarkStart w:id="46" w:name="italic26" w:colFirst="0" w:colLast="0"/>
            <w:bookmarkStart w:id="47" w:name="bold24" w:colFirst="0" w:colLast="0"/>
          </w:p>
        </w:tc>
        <w:tc>
          <w:tcPr>
            <w:tcW w:w="749" w:type="dxa"/>
            <w:vMerge w:val="continue"/>
          </w:tcPr>
          <w:p w14:paraId="7B900226">
            <w:pPr>
              <w:tabs>
                <w:tab w:val="left" w:pos="5400"/>
              </w:tabs>
              <w:jc w:val="center"/>
              <w:rPr>
                <w:sz w:val="20"/>
              </w:rPr>
            </w:pPr>
          </w:p>
        </w:tc>
        <w:tc>
          <w:tcPr>
            <w:tcW w:w="8328" w:type="dxa"/>
          </w:tcPr>
          <w:p w14:paraId="7588A515">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5C66B43C">
            <w:pPr>
              <w:tabs>
                <w:tab w:val="left" w:pos="5400"/>
              </w:tabs>
              <w:rPr>
                <w:sz w:val="20"/>
              </w:rPr>
            </w:pPr>
          </w:p>
        </w:tc>
        <w:tc>
          <w:tcPr>
            <w:tcW w:w="3118" w:type="dxa"/>
          </w:tcPr>
          <w:p w14:paraId="3CC61DAB">
            <w:pPr>
              <w:tabs>
                <w:tab w:val="left" w:pos="5400"/>
              </w:tabs>
              <w:rPr>
                <w:sz w:val="20"/>
              </w:rPr>
            </w:pPr>
          </w:p>
        </w:tc>
      </w:tr>
      <w:bookmarkEnd w:id="46"/>
      <w:bookmarkEnd w:id="47"/>
      <w:tr w14:paraId="1AE1CA1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5665197D">
            <w:pPr>
              <w:tabs>
                <w:tab w:val="left" w:pos="5400"/>
              </w:tabs>
              <w:rPr>
                <w:bCs/>
                <w:sz w:val="20"/>
              </w:rPr>
            </w:pPr>
            <w:bookmarkStart w:id="48" w:name="bold25" w:colFirst="0" w:colLast="0"/>
            <w:bookmarkStart w:id="49" w:name="italic27" w:colFirst="0" w:colLast="0"/>
          </w:p>
        </w:tc>
        <w:tc>
          <w:tcPr>
            <w:tcW w:w="749" w:type="dxa"/>
            <w:vMerge w:val="continue"/>
          </w:tcPr>
          <w:p w14:paraId="42A1DED1">
            <w:pPr>
              <w:tabs>
                <w:tab w:val="left" w:pos="5400"/>
              </w:tabs>
              <w:jc w:val="center"/>
              <w:rPr>
                <w:sz w:val="20"/>
              </w:rPr>
            </w:pPr>
          </w:p>
        </w:tc>
        <w:tc>
          <w:tcPr>
            <w:tcW w:w="8328" w:type="dxa"/>
          </w:tcPr>
          <w:p w14:paraId="2E806107">
            <w:pPr>
              <w:tabs>
                <w:tab w:val="left" w:pos="5400"/>
              </w:tabs>
              <w:rPr>
                <w:sz w:val="20"/>
              </w:rPr>
            </w:pPr>
            <w:r>
              <w:rPr>
                <w:sz w:val="20"/>
              </w:rPr>
              <w:t>(</w:t>
            </w:r>
            <w:r>
              <w:rPr>
                <w:i/>
                <w:sz w:val="20"/>
              </w:rPr>
              <w:t>c</w:t>
            </w:r>
            <w:r>
              <w:rPr>
                <w:sz w:val="20"/>
              </w:rPr>
              <w:t>) Explain how missing data were addressed</w:t>
            </w:r>
          </w:p>
        </w:tc>
        <w:tc>
          <w:tcPr>
            <w:tcW w:w="1276" w:type="dxa"/>
          </w:tcPr>
          <w:p w14:paraId="4C7640DE">
            <w:pPr>
              <w:tabs>
                <w:tab w:val="left" w:pos="5400"/>
              </w:tabs>
              <w:rPr>
                <w:sz w:val="20"/>
              </w:rPr>
            </w:pPr>
          </w:p>
        </w:tc>
        <w:tc>
          <w:tcPr>
            <w:tcW w:w="3118" w:type="dxa"/>
          </w:tcPr>
          <w:p w14:paraId="6B0164EA">
            <w:pPr>
              <w:tabs>
                <w:tab w:val="left" w:pos="5400"/>
              </w:tabs>
              <w:rPr>
                <w:sz w:val="20"/>
              </w:rPr>
            </w:pPr>
          </w:p>
        </w:tc>
      </w:tr>
      <w:bookmarkEnd w:id="48"/>
      <w:bookmarkEnd w:id="49"/>
      <w:tr w14:paraId="20E1B5B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5D8EF89C">
            <w:pPr>
              <w:tabs>
                <w:tab w:val="left" w:pos="5400"/>
              </w:tabs>
              <w:rPr>
                <w:bCs/>
                <w:sz w:val="20"/>
              </w:rPr>
            </w:pPr>
            <w:bookmarkStart w:id="50" w:name="bold26" w:colFirst="0" w:colLast="0"/>
            <w:bookmarkStart w:id="51" w:name="italic28" w:colFirst="0" w:colLast="0"/>
          </w:p>
        </w:tc>
        <w:tc>
          <w:tcPr>
            <w:tcW w:w="749" w:type="dxa"/>
            <w:vMerge w:val="continue"/>
          </w:tcPr>
          <w:p w14:paraId="590C1088">
            <w:pPr>
              <w:tabs>
                <w:tab w:val="left" w:pos="5400"/>
              </w:tabs>
              <w:jc w:val="center"/>
              <w:rPr>
                <w:sz w:val="20"/>
              </w:rPr>
            </w:pPr>
          </w:p>
        </w:tc>
        <w:tc>
          <w:tcPr>
            <w:tcW w:w="8328" w:type="dxa"/>
          </w:tcPr>
          <w:p w14:paraId="201F5F9F">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55BF741E">
            <w:pPr>
              <w:tabs>
                <w:tab w:val="left" w:pos="5400"/>
              </w:tabs>
              <w:rPr>
                <w:sz w:val="20"/>
              </w:rPr>
            </w:pPr>
            <w:r>
              <w:rPr>
                <w:bCs/>
                <w:i/>
                <w:sz w:val="20"/>
              </w:rPr>
              <w:t>Case-control study</w:t>
            </w:r>
            <w:r>
              <w:rPr>
                <w:sz w:val="20"/>
              </w:rPr>
              <w:t>—If applicable, explain how matching of cases and controls was addressed</w:t>
            </w:r>
          </w:p>
          <w:p w14:paraId="7FE1D3C0">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2A9A1978">
            <w:pPr>
              <w:tabs>
                <w:tab w:val="left" w:pos="5400"/>
              </w:tabs>
              <w:rPr>
                <w:sz w:val="20"/>
              </w:rPr>
            </w:pPr>
          </w:p>
        </w:tc>
        <w:tc>
          <w:tcPr>
            <w:tcW w:w="3118" w:type="dxa"/>
          </w:tcPr>
          <w:p w14:paraId="6DAA5E1F">
            <w:pPr>
              <w:tabs>
                <w:tab w:val="left" w:pos="5400"/>
              </w:tabs>
              <w:rPr>
                <w:sz w:val="20"/>
              </w:rPr>
            </w:pPr>
          </w:p>
        </w:tc>
      </w:tr>
      <w:bookmarkEnd w:id="50"/>
      <w:bookmarkEnd w:id="51"/>
      <w:tr w14:paraId="5164078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2490CEC4">
            <w:pPr>
              <w:tabs>
                <w:tab w:val="left" w:pos="5400"/>
              </w:tabs>
              <w:rPr>
                <w:bCs/>
                <w:sz w:val="20"/>
              </w:rPr>
            </w:pPr>
            <w:bookmarkStart w:id="52" w:name="italic29" w:colFirst="0" w:colLast="0"/>
            <w:bookmarkStart w:id="53" w:name="bold27" w:colFirst="0" w:colLast="0"/>
          </w:p>
        </w:tc>
        <w:tc>
          <w:tcPr>
            <w:tcW w:w="749" w:type="dxa"/>
            <w:vMerge w:val="continue"/>
          </w:tcPr>
          <w:p w14:paraId="2A9EA794">
            <w:pPr>
              <w:tabs>
                <w:tab w:val="left" w:pos="5400"/>
              </w:tabs>
              <w:jc w:val="center"/>
              <w:rPr>
                <w:sz w:val="20"/>
              </w:rPr>
            </w:pPr>
          </w:p>
        </w:tc>
        <w:tc>
          <w:tcPr>
            <w:tcW w:w="8328" w:type="dxa"/>
          </w:tcPr>
          <w:p w14:paraId="42723126">
            <w:pPr>
              <w:tabs>
                <w:tab w:val="left" w:pos="5400"/>
              </w:tabs>
              <w:rPr>
                <w:sz w:val="20"/>
              </w:rPr>
            </w:pPr>
            <w:r>
              <w:rPr>
                <w:sz w:val="20"/>
              </w:rPr>
              <w:t>(</w:t>
            </w:r>
            <w:r>
              <w:rPr>
                <w:i/>
                <w:sz w:val="20"/>
                <w:u w:val="single"/>
              </w:rPr>
              <w:t>e</w:t>
            </w:r>
            <w:r>
              <w:rPr>
                <w:sz w:val="20"/>
              </w:rPr>
              <w:t>) Describe any sensitivity analyses</w:t>
            </w:r>
          </w:p>
        </w:tc>
        <w:tc>
          <w:tcPr>
            <w:tcW w:w="1276" w:type="dxa"/>
          </w:tcPr>
          <w:p w14:paraId="5EAB2671">
            <w:pPr>
              <w:tabs>
                <w:tab w:val="left" w:pos="5400"/>
              </w:tabs>
              <w:rPr>
                <w:sz w:val="20"/>
              </w:rPr>
            </w:pPr>
          </w:p>
        </w:tc>
        <w:tc>
          <w:tcPr>
            <w:tcW w:w="3118" w:type="dxa"/>
          </w:tcPr>
          <w:p w14:paraId="4F9B499A">
            <w:pPr>
              <w:tabs>
                <w:tab w:val="left" w:pos="5400"/>
              </w:tabs>
              <w:rPr>
                <w:sz w:val="20"/>
              </w:rPr>
            </w:pPr>
          </w:p>
        </w:tc>
      </w:tr>
      <w:bookmarkEnd w:id="52"/>
      <w:bookmarkEnd w:id="53"/>
      <w:tr w14:paraId="3A8A376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253956AC">
            <w:pPr>
              <w:pStyle w:val="168"/>
              <w:tabs>
                <w:tab w:val="left" w:pos="5400"/>
              </w:tabs>
              <w:rPr>
                <w:sz w:val="20"/>
              </w:rPr>
            </w:pPr>
            <w:r>
              <w:rPr>
                <w:sz w:val="20"/>
              </w:rPr>
              <w:t>Results</w:t>
            </w:r>
          </w:p>
        </w:tc>
      </w:tr>
      <w:tr w14:paraId="1B25ED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3E62E039">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616CF978">
            <w:pPr>
              <w:tabs>
                <w:tab w:val="left" w:pos="5400"/>
              </w:tabs>
              <w:jc w:val="center"/>
              <w:rPr>
                <w:sz w:val="20"/>
              </w:rPr>
            </w:pPr>
            <w:r>
              <w:rPr>
                <w:sz w:val="20"/>
              </w:rPr>
              <w:t>13</w:t>
            </w:r>
            <w:bookmarkStart w:id="56" w:name="bold30"/>
            <w:r>
              <w:rPr>
                <w:bCs/>
                <w:sz w:val="20"/>
              </w:rPr>
              <w:t>*</w:t>
            </w:r>
            <w:bookmarkEnd w:id="56"/>
          </w:p>
        </w:tc>
        <w:tc>
          <w:tcPr>
            <w:tcW w:w="8328" w:type="dxa"/>
          </w:tcPr>
          <w:p w14:paraId="0FB80735">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37467D57">
            <w:pPr>
              <w:tabs>
                <w:tab w:val="left" w:pos="5400"/>
              </w:tabs>
              <w:rPr>
                <w:rFonts w:hint="default" w:eastAsia="宋体"/>
                <w:sz w:val="20"/>
                <w:lang w:val="en-US" w:eastAsia="zh-CN"/>
              </w:rPr>
            </w:pPr>
            <w:r>
              <w:rPr>
                <w:rFonts w:hint="eastAsia" w:eastAsia="宋体"/>
                <w:sz w:val="20"/>
                <w:lang w:val="en-US" w:eastAsia="zh-CN"/>
              </w:rPr>
              <w:t>6</w:t>
            </w:r>
          </w:p>
        </w:tc>
        <w:tc>
          <w:tcPr>
            <w:tcW w:w="3118" w:type="dxa"/>
          </w:tcPr>
          <w:p w14:paraId="483A9184">
            <w:pPr>
              <w:tabs>
                <w:tab w:val="left" w:pos="5400"/>
              </w:tabs>
              <w:rPr>
                <w:sz w:val="20"/>
              </w:rPr>
            </w:pPr>
            <w:r>
              <w:rPr>
                <w:rFonts w:hint="eastAsia"/>
                <w:sz w:val="20"/>
              </w:rPr>
              <w:t>In our study, a total of 205 elderly emergency patients were evaluated</w:t>
            </w:r>
          </w:p>
        </w:tc>
      </w:tr>
      <w:tr w14:paraId="53B585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A3E4BFB">
            <w:pPr>
              <w:tabs>
                <w:tab w:val="left" w:pos="5400"/>
              </w:tabs>
              <w:rPr>
                <w:bCs/>
                <w:sz w:val="20"/>
              </w:rPr>
            </w:pPr>
            <w:bookmarkStart w:id="57" w:name="bold31" w:colFirst="0" w:colLast="0"/>
            <w:bookmarkStart w:id="58" w:name="italic32" w:colFirst="0" w:colLast="0"/>
          </w:p>
        </w:tc>
        <w:tc>
          <w:tcPr>
            <w:tcW w:w="0" w:type="auto"/>
            <w:vMerge w:val="continue"/>
          </w:tcPr>
          <w:p w14:paraId="41615A7D">
            <w:pPr>
              <w:tabs>
                <w:tab w:val="left" w:pos="5400"/>
              </w:tabs>
              <w:jc w:val="center"/>
              <w:rPr>
                <w:sz w:val="20"/>
              </w:rPr>
            </w:pPr>
          </w:p>
        </w:tc>
        <w:tc>
          <w:tcPr>
            <w:tcW w:w="8328" w:type="dxa"/>
          </w:tcPr>
          <w:p w14:paraId="66F55858">
            <w:pPr>
              <w:tabs>
                <w:tab w:val="left" w:pos="5400"/>
              </w:tabs>
              <w:rPr>
                <w:sz w:val="20"/>
              </w:rPr>
            </w:pPr>
            <w:r>
              <w:rPr>
                <w:sz w:val="20"/>
              </w:rPr>
              <w:t>(b) Give reasons for non-participation at each stage</w:t>
            </w:r>
          </w:p>
        </w:tc>
        <w:tc>
          <w:tcPr>
            <w:tcW w:w="1276" w:type="dxa"/>
          </w:tcPr>
          <w:p w14:paraId="52F14378">
            <w:pPr>
              <w:tabs>
                <w:tab w:val="left" w:pos="5400"/>
              </w:tabs>
              <w:rPr>
                <w:sz w:val="20"/>
              </w:rPr>
            </w:pPr>
          </w:p>
        </w:tc>
        <w:tc>
          <w:tcPr>
            <w:tcW w:w="3118" w:type="dxa"/>
          </w:tcPr>
          <w:p w14:paraId="36DDA56B">
            <w:pPr>
              <w:tabs>
                <w:tab w:val="left" w:pos="5400"/>
              </w:tabs>
              <w:rPr>
                <w:sz w:val="20"/>
              </w:rPr>
            </w:pPr>
          </w:p>
        </w:tc>
      </w:tr>
      <w:bookmarkEnd w:id="57"/>
      <w:bookmarkEnd w:id="58"/>
      <w:tr w14:paraId="6F5FDDB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34D69361">
            <w:pPr>
              <w:tabs>
                <w:tab w:val="left" w:pos="5400"/>
              </w:tabs>
              <w:rPr>
                <w:bCs/>
                <w:sz w:val="20"/>
              </w:rPr>
            </w:pPr>
            <w:bookmarkStart w:id="59" w:name="bold32" w:colFirst="0" w:colLast="0"/>
            <w:bookmarkStart w:id="60" w:name="italic33" w:colFirst="0" w:colLast="0"/>
          </w:p>
        </w:tc>
        <w:tc>
          <w:tcPr>
            <w:tcW w:w="0" w:type="auto"/>
            <w:vMerge w:val="continue"/>
          </w:tcPr>
          <w:p w14:paraId="11D8F7B7">
            <w:pPr>
              <w:tabs>
                <w:tab w:val="left" w:pos="5400"/>
              </w:tabs>
              <w:jc w:val="center"/>
              <w:rPr>
                <w:sz w:val="20"/>
              </w:rPr>
            </w:pPr>
          </w:p>
        </w:tc>
        <w:tc>
          <w:tcPr>
            <w:tcW w:w="8328" w:type="dxa"/>
          </w:tcPr>
          <w:p w14:paraId="5EF35CA2">
            <w:pPr>
              <w:tabs>
                <w:tab w:val="left" w:pos="5400"/>
              </w:tabs>
              <w:rPr>
                <w:sz w:val="20"/>
              </w:rPr>
            </w:pPr>
            <w:bookmarkStart w:id="61" w:name="OLE_LINK4"/>
            <w:r>
              <w:rPr>
                <w:sz w:val="20"/>
              </w:rPr>
              <w:t>(c) Consider use of a flow diagram</w:t>
            </w:r>
            <w:bookmarkEnd w:id="61"/>
          </w:p>
        </w:tc>
        <w:tc>
          <w:tcPr>
            <w:tcW w:w="1276" w:type="dxa"/>
          </w:tcPr>
          <w:p w14:paraId="02A10612">
            <w:pPr>
              <w:tabs>
                <w:tab w:val="left" w:pos="5400"/>
              </w:tabs>
              <w:rPr>
                <w:sz w:val="20"/>
              </w:rPr>
            </w:pPr>
          </w:p>
        </w:tc>
        <w:tc>
          <w:tcPr>
            <w:tcW w:w="3118" w:type="dxa"/>
          </w:tcPr>
          <w:p w14:paraId="4E1D9BFA">
            <w:pPr>
              <w:tabs>
                <w:tab w:val="left" w:pos="5400"/>
              </w:tabs>
              <w:rPr>
                <w:sz w:val="20"/>
              </w:rPr>
            </w:pPr>
          </w:p>
        </w:tc>
      </w:tr>
      <w:bookmarkEnd w:id="59"/>
      <w:bookmarkEnd w:id="60"/>
      <w:tr w14:paraId="59D985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6A312C93">
            <w:pPr>
              <w:tabs>
                <w:tab w:val="left" w:pos="5400"/>
              </w:tabs>
              <w:rPr>
                <w:bCs/>
                <w:sz w:val="20"/>
              </w:rPr>
            </w:pPr>
            <w:bookmarkStart w:id="62" w:name="bold33"/>
            <w:bookmarkStart w:id="63" w:name="italic34"/>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14BE5F23">
            <w:pPr>
              <w:tabs>
                <w:tab w:val="left" w:pos="5400"/>
              </w:tabs>
              <w:jc w:val="center"/>
              <w:rPr>
                <w:sz w:val="20"/>
              </w:rPr>
            </w:pPr>
            <w:r>
              <w:rPr>
                <w:sz w:val="20"/>
              </w:rPr>
              <w:t>14</w:t>
            </w:r>
            <w:bookmarkStart w:id="66" w:name="bold35"/>
            <w:r>
              <w:rPr>
                <w:bCs/>
                <w:sz w:val="20"/>
              </w:rPr>
              <w:t>*</w:t>
            </w:r>
            <w:bookmarkEnd w:id="66"/>
          </w:p>
        </w:tc>
        <w:tc>
          <w:tcPr>
            <w:tcW w:w="8328" w:type="dxa"/>
          </w:tcPr>
          <w:p w14:paraId="55FED0E7">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7EE1AB07">
            <w:pPr>
              <w:tabs>
                <w:tab w:val="left" w:pos="5400"/>
              </w:tabs>
              <w:rPr>
                <w:rFonts w:hint="eastAsia" w:eastAsia="宋体"/>
                <w:sz w:val="20"/>
                <w:lang w:val="en-US" w:eastAsia="zh-CN"/>
              </w:rPr>
            </w:pPr>
            <w:r>
              <w:rPr>
                <w:rFonts w:hint="eastAsia" w:eastAsia="宋体"/>
                <w:sz w:val="20"/>
                <w:lang w:val="en-US" w:eastAsia="zh-CN"/>
              </w:rPr>
              <w:t>6</w:t>
            </w:r>
          </w:p>
        </w:tc>
        <w:tc>
          <w:tcPr>
            <w:tcW w:w="3118" w:type="dxa"/>
          </w:tcPr>
          <w:p w14:paraId="3C00C757">
            <w:pPr>
              <w:tabs>
                <w:tab w:val="left" w:pos="5400"/>
              </w:tabs>
              <w:rPr>
                <w:sz w:val="20"/>
              </w:rPr>
            </w:pPr>
            <w:r>
              <w:rPr>
                <w:rFonts w:hint="eastAsia"/>
                <w:sz w:val="20"/>
              </w:rPr>
              <w:t>In our study, a total of 205 elderly emergency patients were evaluated, with an average age of 73.41 ± 7.10 years. The majority (43.4%) were aged between 70 and 79 years. Of the participants, 51.2% were female and 48.8% were male. Residential distribution indicated that 68.8% lived in urban areas, and 31.2% resided in rural areas. Educational attainment was distributed as follows: 13.7% had no formal schooling, 45.9% had completed primary school, 27.3% had completed junior high school, and 13.2% had a high school education or higher. Marital status showed that 91.2% were married, and 8.8% were single. BMI classification revealed that 9.8% were underweight, 75.6% had normal weight, and 14.6% were overweight. Regarding self-assessed health status, 29 participants (14.1%) rated their health as good, 139 (67.8%) rated it as average, and 37 (18.1%) rated it as poor. For self-assessed economic status, 37 participants (18.1%) considered their economic situation to be good, 153 (74.6%) considered it average, and 15 (7.3%) considered it poor. In terms of underlying diseases, 42 participants (20.5%) had no comorbidities, 102 (49.8%) had one comorbidity, 36 (17.6%) had two, 14 (6.8%) had three, and 11 (5.4%) had four or more comorbidities. Medication use responses indicated that 35 participants (17.0%) were taking three or more long-term medications, 125 (61.0%) were taking one to two medications, and 45 (22.0%) were not taking any medications. Refer to Table 1 for detailed information.</w:t>
            </w:r>
          </w:p>
        </w:tc>
      </w:tr>
      <w:tr w14:paraId="74E7D4A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8FB6DCB">
            <w:pPr>
              <w:tabs>
                <w:tab w:val="left" w:pos="5400"/>
              </w:tabs>
              <w:rPr>
                <w:bCs/>
                <w:sz w:val="20"/>
              </w:rPr>
            </w:pPr>
            <w:bookmarkStart w:id="67" w:name="italic36" w:colFirst="0" w:colLast="0"/>
            <w:bookmarkStart w:id="68" w:name="bold36" w:colFirst="0" w:colLast="0"/>
          </w:p>
        </w:tc>
        <w:tc>
          <w:tcPr>
            <w:tcW w:w="0" w:type="auto"/>
            <w:vMerge w:val="continue"/>
          </w:tcPr>
          <w:p w14:paraId="60FC1049">
            <w:pPr>
              <w:tabs>
                <w:tab w:val="left" w:pos="5400"/>
              </w:tabs>
              <w:jc w:val="center"/>
              <w:rPr>
                <w:sz w:val="20"/>
              </w:rPr>
            </w:pPr>
          </w:p>
        </w:tc>
        <w:tc>
          <w:tcPr>
            <w:tcW w:w="8328" w:type="dxa"/>
          </w:tcPr>
          <w:p w14:paraId="37CDF7EA">
            <w:pPr>
              <w:tabs>
                <w:tab w:val="left" w:pos="5400"/>
              </w:tabs>
              <w:rPr>
                <w:sz w:val="20"/>
              </w:rPr>
            </w:pPr>
            <w:r>
              <w:rPr>
                <w:sz w:val="20"/>
              </w:rPr>
              <w:t>(b) Indicate number of participants with missing data for each variable of interest</w:t>
            </w:r>
          </w:p>
        </w:tc>
        <w:tc>
          <w:tcPr>
            <w:tcW w:w="1276" w:type="dxa"/>
          </w:tcPr>
          <w:p w14:paraId="5BA0ACB6">
            <w:pPr>
              <w:tabs>
                <w:tab w:val="left" w:pos="5400"/>
              </w:tabs>
              <w:rPr>
                <w:sz w:val="20"/>
              </w:rPr>
            </w:pPr>
          </w:p>
        </w:tc>
        <w:tc>
          <w:tcPr>
            <w:tcW w:w="3118" w:type="dxa"/>
          </w:tcPr>
          <w:p w14:paraId="3829B6CA">
            <w:pPr>
              <w:tabs>
                <w:tab w:val="left" w:pos="5400"/>
              </w:tabs>
              <w:rPr>
                <w:sz w:val="20"/>
              </w:rPr>
            </w:pPr>
          </w:p>
        </w:tc>
      </w:tr>
      <w:bookmarkEnd w:id="67"/>
      <w:bookmarkEnd w:id="68"/>
      <w:tr w14:paraId="47D7A7A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25BF07D">
            <w:pPr>
              <w:tabs>
                <w:tab w:val="left" w:pos="5400"/>
              </w:tabs>
              <w:rPr>
                <w:bCs/>
                <w:sz w:val="20"/>
              </w:rPr>
            </w:pPr>
            <w:bookmarkStart w:id="69" w:name="italic37" w:colFirst="0" w:colLast="0"/>
            <w:bookmarkStart w:id="70" w:name="bold37" w:colFirst="0" w:colLast="0"/>
          </w:p>
        </w:tc>
        <w:tc>
          <w:tcPr>
            <w:tcW w:w="0" w:type="auto"/>
            <w:vMerge w:val="continue"/>
          </w:tcPr>
          <w:p w14:paraId="79999215">
            <w:pPr>
              <w:tabs>
                <w:tab w:val="left" w:pos="5400"/>
              </w:tabs>
              <w:jc w:val="center"/>
              <w:rPr>
                <w:sz w:val="20"/>
              </w:rPr>
            </w:pPr>
          </w:p>
        </w:tc>
        <w:tc>
          <w:tcPr>
            <w:tcW w:w="8328" w:type="dxa"/>
          </w:tcPr>
          <w:p w14:paraId="45AB5D1A">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28A5755A">
            <w:pPr>
              <w:tabs>
                <w:tab w:val="left" w:pos="5400"/>
              </w:tabs>
              <w:rPr>
                <w:sz w:val="20"/>
              </w:rPr>
            </w:pPr>
          </w:p>
        </w:tc>
        <w:tc>
          <w:tcPr>
            <w:tcW w:w="3118" w:type="dxa"/>
          </w:tcPr>
          <w:p w14:paraId="777BF347">
            <w:pPr>
              <w:tabs>
                <w:tab w:val="left" w:pos="5400"/>
              </w:tabs>
              <w:rPr>
                <w:sz w:val="20"/>
              </w:rPr>
            </w:pPr>
          </w:p>
        </w:tc>
      </w:tr>
      <w:bookmarkEnd w:id="69"/>
      <w:bookmarkEnd w:id="70"/>
      <w:tr w14:paraId="3170189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7866E695">
            <w:pPr>
              <w:tabs>
                <w:tab w:val="left" w:pos="5400"/>
              </w:tabs>
              <w:rPr>
                <w:bCs/>
                <w:sz w:val="20"/>
              </w:rPr>
            </w:pPr>
            <w:bookmarkStart w:id="71" w:name="bold38" w:colFirst="0" w:colLast="0"/>
            <w:bookmarkStart w:id="72" w:name="italic38" w:colFirst="0" w:colLast="0"/>
            <w:r>
              <w:rPr>
                <w:bCs/>
                <w:sz w:val="20"/>
              </w:rPr>
              <w:t>Outcome data</w:t>
            </w:r>
          </w:p>
        </w:tc>
        <w:tc>
          <w:tcPr>
            <w:tcW w:w="0" w:type="auto"/>
            <w:vMerge w:val="restart"/>
          </w:tcPr>
          <w:p w14:paraId="3FEDC4CA">
            <w:pPr>
              <w:tabs>
                <w:tab w:val="left" w:pos="5400"/>
              </w:tabs>
              <w:jc w:val="center"/>
              <w:rPr>
                <w:sz w:val="20"/>
              </w:rPr>
            </w:pPr>
            <w:r>
              <w:rPr>
                <w:sz w:val="20"/>
              </w:rPr>
              <w:t>15</w:t>
            </w:r>
            <w:bookmarkStart w:id="73" w:name="bold39"/>
            <w:r>
              <w:rPr>
                <w:bCs/>
                <w:sz w:val="20"/>
              </w:rPr>
              <w:t>*</w:t>
            </w:r>
            <w:bookmarkEnd w:id="73"/>
          </w:p>
        </w:tc>
        <w:tc>
          <w:tcPr>
            <w:tcW w:w="8328" w:type="dxa"/>
          </w:tcPr>
          <w:p w14:paraId="401107B1">
            <w:pPr>
              <w:tabs>
                <w:tab w:val="left" w:pos="5400"/>
              </w:tabs>
              <w:rPr>
                <w:sz w:val="20"/>
              </w:rPr>
            </w:pPr>
            <w:r>
              <w:rPr>
                <w:i/>
                <w:sz w:val="20"/>
              </w:rPr>
              <w:t>Cohort study</w:t>
            </w:r>
            <w:r>
              <w:rPr>
                <w:sz w:val="20"/>
              </w:rPr>
              <w:t>—Report numbers of outcome events or summary measures over time</w:t>
            </w:r>
          </w:p>
        </w:tc>
        <w:tc>
          <w:tcPr>
            <w:tcW w:w="1276" w:type="dxa"/>
          </w:tcPr>
          <w:p w14:paraId="59D77361">
            <w:pPr>
              <w:tabs>
                <w:tab w:val="left" w:pos="5400"/>
              </w:tabs>
              <w:rPr>
                <w:i/>
                <w:sz w:val="20"/>
              </w:rPr>
            </w:pPr>
          </w:p>
        </w:tc>
        <w:tc>
          <w:tcPr>
            <w:tcW w:w="3118" w:type="dxa"/>
          </w:tcPr>
          <w:p w14:paraId="533EC965">
            <w:pPr>
              <w:tabs>
                <w:tab w:val="left" w:pos="5400"/>
              </w:tabs>
              <w:rPr>
                <w:i/>
                <w:sz w:val="20"/>
              </w:rPr>
            </w:pPr>
          </w:p>
        </w:tc>
      </w:tr>
      <w:tr w14:paraId="44A133E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3C726DE3">
            <w:pPr>
              <w:tabs>
                <w:tab w:val="left" w:pos="5400"/>
              </w:tabs>
              <w:rPr>
                <w:bCs/>
                <w:sz w:val="20"/>
              </w:rPr>
            </w:pPr>
          </w:p>
        </w:tc>
        <w:tc>
          <w:tcPr>
            <w:tcW w:w="0" w:type="auto"/>
            <w:vMerge w:val="continue"/>
          </w:tcPr>
          <w:p w14:paraId="712ED5CD">
            <w:pPr>
              <w:tabs>
                <w:tab w:val="left" w:pos="5400"/>
              </w:tabs>
              <w:jc w:val="center"/>
              <w:rPr>
                <w:sz w:val="20"/>
              </w:rPr>
            </w:pPr>
          </w:p>
        </w:tc>
        <w:tc>
          <w:tcPr>
            <w:tcW w:w="8328" w:type="dxa"/>
          </w:tcPr>
          <w:p w14:paraId="1F4C43F1">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6B8C4C26">
            <w:pPr>
              <w:tabs>
                <w:tab w:val="left" w:pos="5400"/>
              </w:tabs>
              <w:rPr>
                <w:i/>
                <w:sz w:val="20"/>
              </w:rPr>
            </w:pPr>
          </w:p>
        </w:tc>
        <w:tc>
          <w:tcPr>
            <w:tcW w:w="3118" w:type="dxa"/>
          </w:tcPr>
          <w:p w14:paraId="55420FCF">
            <w:pPr>
              <w:tabs>
                <w:tab w:val="left" w:pos="5400"/>
              </w:tabs>
              <w:rPr>
                <w:i/>
                <w:sz w:val="20"/>
              </w:rPr>
            </w:pPr>
          </w:p>
        </w:tc>
      </w:tr>
      <w:tr w14:paraId="7389BA7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44CA1531">
            <w:pPr>
              <w:tabs>
                <w:tab w:val="left" w:pos="5400"/>
              </w:tabs>
              <w:rPr>
                <w:bCs/>
                <w:sz w:val="20"/>
              </w:rPr>
            </w:pPr>
          </w:p>
        </w:tc>
        <w:tc>
          <w:tcPr>
            <w:tcW w:w="0" w:type="auto"/>
            <w:vMerge w:val="continue"/>
          </w:tcPr>
          <w:p w14:paraId="2B4E556E">
            <w:pPr>
              <w:tabs>
                <w:tab w:val="left" w:pos="5400"/>
              </w:tabs>
              <w:jc w:val="center"/>
              <w:rPr>
                <w:sz w:val="20"/>
              </w:rPr>
            </w:pPr>
          </w:p>
        </w:tc>
        <w:tc>
          <w:tcPr>
            <w:tcW w:w="8328" w:type="dxa"/>
          </w:tcPr>
          <w:p w14:paraId="4E86388E">
            <w:pPr>
              <w:tabs>
                <w:tab w:val="left" w:pos="5400"/>
              </w:tabs>
              <w:rPr>
                <w:i/>
                <w:sz w:val="20"/>
              </w:rPr>
            </w:pPr>
            <w:r>
              <w:rPr>
                <w:i/>
                <w:sz w:val="20"/>
              </w:rPr>
              <w:t>Cross-sectional study—</w:t>
            </w:r>
            <w:r>
              <w:rPr>
                <w:sz w:val="20"/>
              </w:rPr>
              <w:t>Report numbers of outcome events or summary measures</w:t>
            </w:r>
          </w:p>
        </w:tc>
        <w:tc>
          <w:tcPr>
            <w:tcW w:w="1276" w:type="dxa"/>
          </w:tcPr>
          <w:p w14:paraId="71634F39">
            <w:pPr>
              <w:tabs>
                <w:tab w:val="left" w:pos="5400"/>
              </w:tabs>
              <w:rPr>
                <w:rFonts w:hint="eastAsia" w:ascii="Times New Roman" w:hAnsi="Times New Roman" w:eastAsia="Times New Roman" w:cs="Times New Roman"/>
                <w:sz w:val="20"/>
                <w:lang w:val="en-US" w:eastAsia="zh-CN"/>
              </w:rPr>
            </w:pPr>
            <w:r>
              <w:rPr>
                <w:rFonts w:hint="eastAsia" w:ascii="Times New Roman" w:hAnsi="Times New Roman" w:eastAsia="Times New Roman" w:cs="Times New Roman"/>
                <w:sz w:val="20"/>
                <w:lang w:val="en-US" w:eastAsia="zh-CN"/>
              </w:rPr>
              <w:t>7</w:t>
            </w:r>
          </w:p>
        </w:tc>
        <w:tc>
          <w:tcPr>
            <w:tcW w:w="3118" w:type="dxa"/>
          </w:tcPr>
          <w:p w14:paraId="2407F683">
            <w:pPr>
              <w:tabs>
                <w:tab w:val="left" w:pos="5400"/>
              </w:tabs>
              <w:rPr>
                <w:rFonts w:hint="eastAsia" w:ascii="Times New Roman" w:hAnsi="Times New Roman" w:eastAsia="Times New Roman" w:cs="Times New Roman"/>
                <w:sz w:val="20"/>
              </w:rPr>
            </w:pPr>
            <w:r>
              <w:rPr>
                <w:rFonts w:hint="eastAsia" w:ascii="Times New Roman" w:hAnsi="Times New Roman" w:eastAsia="Times New Roman" w:cs="Times New Roman"/>
                <w:sz w:val="20"/>
              </w:rPr>
              <w:t>After adjusting for age, gender, marital status, education level, and number of comorbidities, patients with mild or significant daytime sleepiness were more likely to experience frailty compared to those without daytime sleepiness (OR=2.509, p=0.018; OR=4.395, p=0.048). Additionally, patients who reported mild or significant dissatisfaction with sleep quality had a higher likelihood of developing sarcopenia relative to those with good sleep quality (OR=4.153, p=0.006; OR=5.955, p=0.013). Patients with normal sleep patterns also exhibited a lower risk of malnutrition compared to those with insufficient sleep (OR=0.353, p=0.043), and those with slight daytime sleepiness showed an increased risk of malnutrition compared to those without sleep issues (OR=3.414, p=0.004). Furthermore, patients with mild daytime sleepiness were more prone to cognitive impairment than those without daytime sleepiness (OR=2.564, p=0.026).</w:t>
            </w:r>
          </w:p>
        </w:tc>
      </w:tr>
      <w:bookmarkEnd w:id="71"/>
      <w:bookmarkEnd w:id="72"/>
      <w:tr w14:paraId="7C7BDA4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55B08F12">
            <w:pPr>
              <w:tabs>
                <w:tab w:val="left" w:pos="5400"/>
              </w:tabs>
              <w:rPr>
                <w:bCs/>
                <w:sz w:val="20"/>
              </w:rPr>
            </w:pPr>
            <w:bookmarkStart w:id="74" w:name="italic40" w:colFirst="0" w:colLast="0"/>
            <w:bookmarkStart w:id="75" w:name="bold41" w:colFirst="0" w:colLast="0"/>
            <w:r>
              <w:rPr>
                <w:bCs/>
                <w:sz w:val="20"/>
              </w:rPr>
              <w:t>Main results</w:t>
            </w:r>
          </w:p>
        </w:tc>
        <w:tc>
          <w:tcPr>
            <w:tcW w:w="0" w:type="auto"/>
            <w:vMerge w:val="restart"/>
          </w:tcPr>
          <w:p w14:paraId="24851803">
            <w:pPr>
              <w:tabs>
                <w:tab w:val="left" w:pos="5400"/>
              </w:tabs>
              <w:jc w:val="center"/>
              <w:rPr>
                <w:sz w:val="20"/>
              </w:rPr>
            </w:pPr>
            <w:r>
              <w:rPr>
                <w:sz w:val="20"/>
              </w:rPr>
              <w:t>16</w:t>
            </w:r>
          </w:p>
        </w:tc>
        <w:tc>
          <w:tcPr>
            <w:tcW w:w="8328" w:type="dxa"/>
          </w:tcPr>
          <w:p w14:paraId="7C12602D">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shd w:val="clear"/>
            <w:vAlign w:val="top"/>
          </w:tcPr>
          <w:p w14:paraId="00E53205">
            <w:pPr>
              <w:tabs>
                <w:tab w:val="left" w:pos="5400"/>
              </w:tabs>
              <w:rPr>
                <w:rFonts w:hint="eastAsia" w:ascii="Times New Roman" w:hAnsi="Times New Roman" w:eastAsia="Times New Roman" w:cs="Times New Roman"/>
                <w:sz w:val="20"/>
                <w:lang w:val="en-US" w:eastAsia="zh-CN" w:bidi="ar-SA"/>
              </w:rPr>
            </w:pPr>
            <w:r>
              <w:rPr>
                <w:rFonts w:hint="eastAsia" w:ascii="Times New Roman" w:hAnsi="Times New Roman" w:eastAsia="Times New Roman" w:cs="Times New Roman"/>
                <w:sz w:val="20"/>
                <w:lang w:val="en-US" w:eastAsia="zh-CN"/>
              </w:rPr>
              <w:t>7</w:t>
            </w:r>
          </w:p>
        </w:tc>
        <w:tc>
          <w:tcPr>
            <w:tcW w:w="3118" w:type="dxa"/>
            <w:shd w:val="clear"/>
            <w:vAlign w:val="top"/>
          </w:tcPr>
          <w:p w14:paraId="3FA34C7E">
            <w:pPr>
              <w:tabs>
                <w:tab w:val="left" w:pos="5400"/>
              </w:tabs>
              <w:rPr>
                <w:rFonts w:hint="eastAsia" w:ascii="Times New Roman" w:hAnsi="Times New Roman" w:eastAsia="Times New Roman" w:cs="Times New Roman"/>
                <w:sz w:val="20"/>
                <w:lang w:val="en-GB" w:eastAsia="en-US" w:bidi="ar-SA"/>
              </w:rPr>
            </w:pPr>
            <w:r>
              <w:rPr>
                <w:rFonts w:hint="eastAsia" w:ascii="Times New Roman" w:hAnsi="Times New Roman" w:eastAsia="Times New Roman" w:cs="Times New Roman"/>
                <w:sz w:val="20"/>
              </w:rPr>
              <w:t>After adjusting for age, gender, marital status, education level, and number of comorbidities, patients with mild or significant daytime sleepiness were more likely to experience frailty compared to those without daytime sleepiness (OR=2.509, p=0.018; OR=4.395, p=0.048). Additionally, patients who reported mild or significant dissatisfaction with sleep quality had a higher likelihood of developing sarcopenia relative to those with good sleep quality (OR=4.153, p=0.006; OR=5.955, p=0.013). Patients with normal sleep patterns also exhibited a lower risk of malnutrition compared to those with insufficient sleep (OR=0.353, p=0.043), and those with slight daytime sleepiness showed an increased risk of malnutrition compared to those without sleep issues (OR=3.414, p=0.004). Furthermore, patients with mild daytime sleepiness were more prone to cognitive impairment than those without daytime sleepiness (OR=2.564, p=0.026).</w:t>
            </w:r>
          </w:p>
        </w:tc>
      </w:tr>
      <w:bookmarkEnd w:id="74"/>
      <w:bookmarkEnd w:id="75"/>
      <w:tr w14:paraId="11AFCC6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6A7FC303">
            <w:pPr>
              <w:tabs>
                <w:tab w:val="left" w:pos="5400"/>
              </w:tabs>
              <w:rPr>
                <w:bCs/>
                <w:sz w:val="20"/>
              </w:rPr>
            </w:pPr>
            <w:bookmarkStart w:id="76" w:name="italic41" w:colFirst="0" w:colLast="0"/>
            <w:bookmarkStart w:id="77" w:name="bold42" w:colFirst="0" w:colLast="0"/>
          </w:p>
        </w:tc>
        <w:tc>
          <w:tcPr>
            <w:tcW w:w="0" w:type="auto"/>
            <w:vMerge w:val="continue"/>
          </w:tcPr>
          <w:p w14:paraId="1DD2F817">
            <w:pPr>
              <w:tabs>
                <w:tab w:val="left" w:pos="5400"/>
              </w:tabs>
              <w:jc w:val="center"/>
              <w:rPr>
                <w:sz w:val="20"/>
              </w:rPr>
            </w:pPr>
          </w:p>
        </w:tc>
        <w:tc>
          <w:tcPr>
            <w:tcW w:w="8328" w:type="dxa"/>
          </w:tcPr>
          <w:p w14:paraId="4E7D2C8D">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14:paraId="64A2308D">
            <w:pPr>
              <w:tabs>
                <w:tab w:val="left" w:pos="5400"/>
              </w:tabs>
              <w:rPr>
                <w:sz w:val="20"/>
              </w:rPr>
            </w:pPr>
          </w:p>
        </w:tc>
        <w:tc>
          <w:tcPr>
            <w:tcW w:w="3118" w:type="dxa"/>
          </w:tcPr>
          <w:p w14:paraId="5738AA26">
            <w:pPr>
              <w:tabs>
                <w:tab w:val="left" w:pos="5400"/>
              </w:tabs>
              <w:rPr>
                <w:sz w:val="20"/>
              </w:rPr>
            </w:pPr>
          </w:p>
        </w:tc>
      </w:tr>
      <w:bookmarkEnd w:id="76"/>
      <w:bookmarkEnd w:id="77"/>
      <w:tr w14:paraId="42A84A1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6CF4FBE">
            <w:pPr>
              <w:tabs>
                <w:tab w:val="left" w:pos="5400"/>
              </w:tabs>
              <w:rPr>
                <w:bCs/>
                <w:sz w:val="20"/>
              </w:rPr>
            </w:pPr>
            <w:bookmarkStart w:id="78" w:name="bold43" w:colFirst="0" w:colLast="0"/>
            <w:bookmarkStart w:id="79" w:name="italic42" w:colFirst="0" w:colLast="0"/>
          </w:p>
        </w:tc>
        <w:tc>
          <w:tcPr>
            <w:tcW w:w="0" w:type="auto"/>
            <w:vMerge w:val="continue"/>
          </w:tcPr>
          <w:p w14:paraId="1D30B919">
            <w:pPr>
              <w:tabs>
                <w:tab w:val="left" w:pos="5400"/>
              </w:tabs>
              <w:jc w:val="center"/>
              <w:rPr>
                <w:sz w:val="20"/>
              </w:rPr>
            </w:pPr>
          </w:p>
        </w:tc>
        <w:tc>
          <w:tcPr>
            <w:tcW w:w="8328" w:type="dxa"/>
          </w:tcPr>
          <w:p w14:paraId="5861BC56">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4A436CEB">
            <w:pPr>
              <w:tabs>
                <w:tab w:val="left" w:pos="5400"/>
              </w:tabs>
              <w:rPr>
                <w:sz w:val="20"/>
              </w:rPr>
            </w:pPr>
          </w:p>
        </w:tc>
        <w:tc>
          <w:tcPr>
            <w:tcW w:w="3118" w:type="dxa"/>
          </w:tcPr>
          <w:p w14:paraId="7ADDEA78">
            <w:pPr>
              <w:tabs>
                <w:tab w:val="left" w:pos="5400"/>
              </w:tabs>
              <w:rPr>
                <w:sz w:val="20"/>
              </w:rPr>
            </w:pPr>
          </w:p>
        </w:tc>
      </w:tr>
      <w:bookmarkEnd w:id="78"/>
      <w:bookmarkEnd w:id="79"/>
    </w:tbl>
    <w:p w14:paraId="639F0523">
      <w:bookmarkStart w:id="80" w:name="italic43"/>
      <w:bookmarkStart w:id="81" w:name="bold44"/>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0F75C15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259193B8">
            <w:pPr>
              <w:tabs>
                <w:tab w:val="left" w:pos="5400"/>
              </w:tabs>
              <w:rPr>
                <w:bCs/>
                <w:sz w:val="20"/>
              </w:rPr>
            </w:pPr>
            <w:r>
              <w:rPr>
                <w:bCs/>
                <w:sz w:val="20"/>
              </w:rPr>
              <w:t>Other analyses</w:t>
            </w:r>
            <w:bookmarkEnd w:id="80"/>
            <w:bookmarkEnd w:id="81"/>
          </w:p>
        </w:tc>
        <w:tc>
          <w:tcPr>
            <w:tcW w:w="0" w:type="auto"/>
          </w:tcPr>
          <w:p w14:paraId="380184BC">
            <w:pPr>
              <w:tabs>
                <w:tab w:val="left" w:pos="5400"/>
              </w:tabs>
              <w:jc w:val="center"/>
              <w:rPr>
                <w:sz w:val="20"/>
              </w:rPr>
            </w:pPr>
            <w:r>
              <w:rPr>
                <w:sz w:val="20"/>
              </w:rPr>
              <w:t>17</w:t>
            </w:r>
          </w:p>
        </w:tc>
        <w:tc>
          <w:tcPr>
            <w:tcW w:w="8687" w:type="dxa"/>
          </w:tcPr>
          <w:p w14:paraId="41751FED">
            <w:pPr>
              <w:tabs>
                <w:tab w:val="left" w:pos="5400"/>
              </w:tabs>
              <w:rPr>
                <w:sz w:val="20"/>
              </w:rPr>
            </w:pPr>
            <w:r>
              <w:rPr>
                <w:sz w:val="20"/>
              </w:rPr>
              <w:t>Report other analyses done—eg analyses of subgroups and interactions, and sensitivity analyses</w:t>
            </w:r>
          </w:p>
        </w:tc>
        <w:tc>
          <w:tcPr>
            <w:tcW w:w="1265" w:type="dxa"/>
          </w:tcPr>
          <w:p w14:paraId="4236324F">
            <w:pPr>
              <w:tabs>
                <w:tab w:val="left" w:pos="5400"/>
              </w:tabs>
              <w:rPr>
                <w:sz w:val="20"/>
              </w:rPr>
            </w:pPr>
          </w:p>
        </w:tc>
        <w:tc>
          <w:tcPr>
            <w:tcW w:w="3129" w:type="dxa"/>
          </w:tcPr>
          <w:p w14:paraId="64B10A48">
            <w:pPr>
              <w:tabs>
                <w:tab w:val="left" w:pos="5400"/>
              </w:tabs>
              <w:rPr>
                <w:sz w:val="20"/>
              </w:rPr>
            </w:pPr>
          </w:p>
        </w:tc>
      </w:tr>
      <w:tr w14:paraId="1FB0923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471FE9CC">
            <w:pPr>
              <w:pStyle w:val="168"/>
              <w:tabs>
                <w:tab w:val="left" w:pos="5400"/>
              </w:tabs>
              <w:rPr>
                <w:sz w:val="20"/>
              </w:rPr>
            </w:pPr>
            <w:bookmarkStart w:id="82" w:name="bold45"/>
            <w:bookmarkStart w:id="83" w:name="italic44"/>
            <w:r>
              <w:rPr>
                <w:sz w:val="20"/>
              </w:rPr>
              <w:t>Discussion</w:t>
            </w:r>
            <w:bookmarkEnd w:id="82"/>
            <w:bookmarkEnd w:id="83"/>
          </w:p>
        </w:tc>
      </w:tr>
      <w:tr w14:paraId="73C656B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E07D320">
            <w:pPr>
              <w:tabs>
                <w:tab w:val="left" w:pos="5400"/>
              </w:tabs>
              <w:rPr>
                <w:bCs/>
                <w:sz w:val="20"/>
              </w:rPr>
            </w:pPr>
            <w:bookmarkStart w:id="84" w:name="bold46" w:colFirst="0" w:colLast="0"/>
            <w:bookmarkStart w:id="85" w:name="italic45" w:colFirst="0" w:colLast="0"/>
            <w:r>
              <w:rPr>
                <w:bCs/>
                <w:sz w:val="20"/>
              </w:rPr>
              <w:t>Key results</w:t>
            </w:r>
          </w:p>
        </w:tc>
        <w:tc>
          <w:tcPr>
            <w:tcW w:w="0" w:type="auto"/>
          </w:tcPr>
          <w:p w14:paraId="57338258">
            <w:pPr>
              <w:tabs>
                <w:tab w:val="left" w:pos="5400"/>
              </w:tabs>
              <w:jc w:val="center"/>
              <w:rPr>
                <w:sz w:val="20"/>
              </w:rPr>
            </w:pPr>
            <w:r>
              <w:rPr>
                <w:sz w:val="20"/>
              </w:rPr>
              <w:t>18</w:t>
            </w:r>
          </w:p>
        </w:tc>
        <w:tc>
          <w:tcPr>
            <w:tcW w:w="8687" w:type="dxa"/>
          </w:tcPr>
          <w:p w14:paraId="74F02360">
            <w:pPr>
              <w:tabs>
                <w:tab w:val="left" w:pos="5400"/>
              </w:tabs>
              <w:rPr>
                <w:sz w:val="20"/>
              </w:rPr>
            </w:pPr>
            <w:r>
              <w:rPr>
                <w:sz w:val="20"/>
              </w:rPr>
              <w:t>Summarise key results with reference to study objectives</w:t>
            </w:r>
          </w:p>
        </w:tc>
        <w:tc>
          <w:tcPr>
            <w:tcW w:w="1265" w:type="dxa"/>
          </w:tcPr>
          <w:p w14:paraId="0B181119">
            <w:pPr>
              <w:tabs>
                <w:tab w:val="left" w:pos="5400"/>
              </w:tabs>
              <w:rPr>
                <w:rFonts w:hint="default" w:eastAsia="宋体"/>
                <w:sz w:val="20"/>
                <w:lang w:val="en-US" w:eastAsia="zh-CN"/>
              </w:rPr>
            </w:pPr>
            <w:r>
              <w:rPr>
                <w:rFonts w:hint="eastAsia" w:eastAsia="宋体"/>
                <w:sz w:val="20"/>
                <w:lang w:val="en-US" w:eastAsia="zh-CN"/>
              </w:rPr>
              <w:t>11</w:t>
            </w:r>
          </w:p>
        </w:tc>
        <w:tc>
          <w:tcPr>
            <w:tcW w:w="3129" w:type="dxa"/>
          </w:tcPr>
          <w:p w14:paraId="7617E0FF">
            <w:pPr>
              <w:tabs>
                <w:tab w:val="left" w:pos="5400"/>
              </w:tabs>
              <w:rPr>
                <w:sz w:val="20"/>
              </w:rPr>
            </w:pPr>
            <w:r>
              <w:rPr>
                <w:rFonts w:hint="eastAsia"/>
                <w:sz w:val="20"/>
              </w:rPr>
              <w:t>In conclusion, when integrated with the existing body of literature, our findings suggest that poor sleep is not merely a consequence of geriatric syndromes but also serves as a contributing factor. The pathophysiological mechanisms underlying this relationship are complex and involve neuroendocrine, inflammatory, and metabolic pathways. Future research should look for ways to improve sleep quality in elderly emergency patients in order to mitigate the risk of geriatric syndromes and optimize overall health outcomes.</w:t>
            </w:r>
          </w:p>
        </w:tc>
      </w:tr>
      <w:bookmarkEnd w:id="84"/>
      <w:bookmarkEnd w:id="85"/>
      <w:tr w14:paraId="4EECAA5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A5A4AC1">
            <w:pPr>
              <w:tabs>
                <w:tab w:val="left" w:pos="5400"/>
              </w:tabs>
              <w:rPr>
                <w:bCs/>
                <w:sz w:val="20"/>
              </w:rPr>
            </w:pPr>
            <w:bookmarkStart w:id="86" w:name="bold47" w:colFirst="0" w:colLast="0"/>
            <w:bookmarkStart w:id="87" w:name="italic46" w:colFirst="0" w:colLast="0"/>
            <w:r>
              <w:rPr>
                <w:bCs/>
                <w:sz w:val="20"/>
              </w:rPr>
              <w:t>Limitations</w:t>
            </w:r>
          </w:p>
        </w:tc>
        <w:tc>
          <w:tcPr>
            <w:tcW w:w="0" w:type="auto"/>
          </w:tcPr>
          <w:p w14:paraId="25F2948B">
            <w:pPr>
              <w:tabs>
                <w:tab w:val="left" w:pos="5400"/>
              </w:tabs>
              <w:jc w:val="center"/>
              <w:rPr>
                <w:sz w:val="20"/>
              </w:rPr>
            </w:pPr>
            <w:r>
              <w:rPr>
                <w:sz w:val="20"/>
              </w:rPr>
              <w:t>19</w:t>
            </w:r>
          </w:p>
        </w:tc>
        <w:tc>
          <w:tcPr>
            <w:tcW w:w="8687" w:type="dxa"/>
          </w:tcPr>
          <w:p w14:paraId="4A3DBDC6">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19C24F7B">
            <w:pPr>
              <w:tabs>
                <w:tab w:val="left" w:pos="5400"/>
              </w:tabs>
              <w:rPr>
                <w:rFonts w:hint="default" w:eastAsia="宋体"/>
                <w:sz w:val="20"/>
                <w:lang w:val="en-US" w:eastAsia="zh-CN"/>
              </w:rPr>
            </w:pPr>
            <w:r>
              <w:rPr>
                <w:rFonts w:hint="eastAsia" w:eastAsia="宋体"/>
                <w:sz w:val="20"/>
                <w:lang w:val="en-US" w:eastAsia="zh-CN"/>
              </w:rPr>
              <w:t>11</w:t>
            </w:r>
          </w:p>
        </w:tc>
        <w:tc>
          <w:tcPr>
            <w:tcW w:w="3129" w:type="dxa"/>
          </w:tcPr>
          <w:p w14:paraId="4334B73B">
            <w:pPr>
              <w:tabs>
                <w:tab w:val="left" w:pos="5400"/>
              </w:tabs>
              <w:rPr>
                <w:sz w:val="20"/>
              </w:rPr>
            </w:pPr>
            <w:r>
              <w:rPr>
                <w:rFonts w:hint="eastAsia"/>
                <w:sz w:val="20"/>
              </w:rPr>
              <w:t>This was a cross-sectional survey. Given the unique characteristics of elderly emergency patients, the sample was limited to a single hospital, resulting in a relatively small and potentially non-representative sample size. Future research should consider conducting larger, multicenter studies to enhance the generalizability of the findings.</w:t>
            </w:r>
          </w:p>
        </w:tc>
      </w:tr>
      <w:bookmarkEnd w:id="86"/>
      <w:bookmarkEnd w:id="87"/>
      <w:tr w14:paraId="1D03C8D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27F5201">
            <w:pPr>
              <w:tabs>
                <w:tab w:val="left" w:pos="5400"/>
              </w:tabs>
              <w:rPr>
                <w:bCs/>
                <w:sz w:val="20"/>
              </w:rPr>
            </w:pPr>
            <w:bookmarkStart w:id="88" w:name="italic47" w:colFirst="0" w:colLast="0"/>
            <w:bookmarkStart w:id="89" w:name="bold48" w:colFirst="0" w:colLast="0"/>
            <w:r>
              <w:rPr>
                <w:bCs/>
                <w:sz w:val="20"/>
              </w:rPr>
              <w:t>Interpretation</w:t>
            </w:r>
          </w:p>
        </w:tc>
        <w:tc>
          <w:tcPr>
            <w:tcW w:w="0" w:type="auto"/>
          </w:tcPr>
          <w:p w14:paraId="09DE33E7">
            <w:pPr>
              <w:tabs>
                <w:tab w:val="left" w:pos="5400"/>
              </w:tabs>
              <w:jc w:val="center"/>
              <w:rPr>
                <w:sz w:val="20"/>
              </w:rPr>
            </w:pPr>
            <w:r>
              <w:rPr>
                <w:sz w:val="20"/>
              </w:rPr>
              <w:t>20</w:t>
            </w:r>
          </w:p>
        </w:tc>
        <w:tc>
          <w:tcPr>
            <w:tcW w:w="8687" w:type="dxa"/>
          </w:tcPr>
          <w:p w14:paraId="0397D2DA">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4959CAD5">
            <w:pPr>
              <w:tabs>
                <w:tab w:val="left" w:pos="5400"/>
              </w:tabs>
              <w:rPr>
                <w:rFonts w:hint="default" w:eastAsia="宋体"/>
                <w:sz w:val="20"/>
                <w:lang w:val="en-US" w:eastAsia="zh-CN"/>
              </w:rPr>
            </w:pPr>
            <w:r>
              <w:rPr>
                <w:rFonts w:hint="eastAsia" w:eastAsia="宋体"/>
                <w:sz w:val="20"/>
                <w:lang w:val="en-US" w:eastAsia="zh-CN"/>
              </w:rPr>
              <w:t>7-11</w:t>
            </w:r>
          </w:p>
        </w:tc>
        <w:tc>
          <w:tcPr>
            <w:tcW w:w="3129" w:type="dxa"/>
          </w:tcPr>
          <w:p w14:paraId="1A9C6042">
            <w:pPr>
              <w:tabs>
                <w:tab w:val="left" w:pos="5400"/>
              </w:tabs>
              <w:rPr>
                <w:sz w:val="20"/>
              </w:rPr>
            </w:pPr>
          </w:p>
        </w:tc>
      </w:tr>
      <w:bookmarkEnd w:id="88"/>
      <w:bookmarkEnd w:id="89"/>
      <w:tr w14:paraId="16A0A9C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94E8515">
            <w:pPr>
              <w:tabs>
                <w:tab w:val="left" w:pos="5400"/>
              </w:tabs>
              <w:rPr>
                <w:bCs/>
                <w:sz w:val="20"/>
              </w:rPr>
            </w:pPr>
            <w:bookmarkStart w:id="90" w:name="italic48" w:colFirst="0" w:colLast="0"/>
            <w:bookmarkStart w:id="91" w:name="bold49" w:colFirst="0" w:colLast="0"/>
            <w:r>
              <w:rPr>
                <w:bCs/>
                <w:sz w:val="20"/>
              </w:rPr>
              <w:t>Generalisability</w:t>
            </w:r>
          </w:p>
        </w:tc>
        <w:tc>
          <w:tcPr>
            <w:tcW w:w="0" w:type="auto"/>
          </w:tcPr>
          <w:p w14:paraId="110AB568">
            <w:pPr>
              <w:tabs>
                <w:tab w:val="left" w:pos="5400"/>
              </w:tabs>
              <w:jc w:val="center"/>
              <w:rPr>
                <w:sz w:val="20"/>
              </w:rPr>
            </w:pPr>
            <w:r>
              <w:rPr>
                <w:sz w:val="20"/>
              </w:rPr>
              <w:t>21</w:t>
            </w:r>
          </w:p>
        </w:tc>
        <w:tc>
          <w:tcPr>
            <w:tcW w:w="8687" w:type="dxa"/>
          </w:tcPr>
          <w:p w14:paraId="1BD2811B">
            <w:pPr>
              <w:tabs>
                <w:tab w:val="left" w:pos="5400"/>
              </w:tabs>
              <w:rPr>
                <w:sz w:val="20"/>
              </w:rPr>
            </w:pPr>
            <w:r>
              <w:rPr>
                <w:sz w:val="20"/>
              </w:rPr>
              <w:t>Discuss the generalisability (external validity) of the study results</w:t>
            </w:r>
          </w:p>
        </w:tc>
        <w:tc>
          <w:tcPr>
            <w:tcW w:w="1265" w:type="dxa"/>
          </w:tcPr>
          <w:p w14:paraId="736CFE41">
            <w:pPr>
              <w:tabs>
                <w:tab w:val="left" w:pos="5400"/>
              </w:tabs>
              <w:rPr>
                <w:rFonts w:hint="default" w:eastAsia="宋体"/>
                <w:sz w:val="20"/>
                <w:lang w:val="en-US" w:eastAsia="zh-CN"/>
              </w:rPr>
            </w:pPr>
            <w:r>
              <w:rPr>
                <w:rFonts w:hint="eastAsia" w:eastAsia="宋体"/>
                <w:sz w:val="20"/>
                <w:lang w:val="en-US" w:eastAsia="zh-CN"/>
              </w:rPr>
              <w:t>7-11</w:t>
            </w:r>
            <w:bookmarkStart w:id="96" w:name="_GoBack"/>
            <w:bookmarkEnd w:id="96"/>
          </w:p>
        </w:tc>
        <w:tc>
          <w:tcPr>
            <w:tcW w:w="3129" w:type="dxa"/>
          </w:tcPr>
          <w:p w14:paraId="5D74D32B">
            <w:pPr>
              <w:tabs>
                <w:tab w:val="left" w:pos="5400"/>
              </w:tabs>
              <w:rPr>
                <w:sz w:val="20"/>
              </w:rPr>
            </w:pPr>
          </w:p>
        </w:tc>
      </w:tr>
      <w:bookmarkEnd w:id="90"/>
      <w:bookmarkEnd w:id="91"/>
      <w:tr w14:paraId="5FB5107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6EAA3A86">
            <w:pPr>
              <w:pStyle w:val="168"/>
              <w:tabs>
                <w:tab w:val="left" w:pos="5400"/>
              </w:tabs>
              <w:rPr>
                <w:sz w:val="20"/>
              </w:rPr>
            </w:pPr>
            <w:bookmarkStart w:id="92" w:name="italic49"/>
            <w:bookmarkStart w:id="93" w:name="bold50"/>
            <w:r>
              <w:rPr>
                <w:sz w:val="20"/>
              </w:rPr>
              <w:t>Other information</w:t>
            </w:r>
          </w:p>
          <w:bookmarkEnd w:id="92"/>
          <w:bookmarkEnd w:id="93"/>
        </w:tc>
        <w:tc>
          <w:tcPr>
            <w:tcW w:w="13081" w:type="dxa"/>
            <w:gridSpan w:val="3"/>
          </w:tcPr>
          <w:p w14:paraId="3340895C">
            <w:pPr>
              <w:pStyle w:val="168"/>
              <w:tabs>
                <w:tab w:val="left" w:pos="5400"/>
              </w:tabs>
              <w:rPr>
                <w:sz w:val="20"/>
              </w:rPr>
            </w:pPr>
          </w:p>
        </w:tc>
      </w:tr>
      <w:tr w14:paraId="5047053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34225DC3">
            <w:pPr>
              <w:tabs>
                <w:tab w:val="left" w:pos="5400"/>
              </w:tabs>
              <w:rPr>
                <w:bCs/>
                <w:sz w:val="20"/>
              </w:rPr>
            </w:pPr>
            <w:bookmarkStart w:id="94" w:name="bold51" w:colFirst="0" w:colLast="0"/>
            <w:bookmarkStart w:id="95" w:name="italic50" w:colFirst="0" w:colLast="0"/>
            <w:r>
              <w:rPr>
                <w:bCs/>
                <w:sz w:val="20"/>
              </w:rPr>
              <w:t>Funding</w:t>
            </w:r>
          </w:p>
        </w:tc>
        <w:tc>
          <w:tcPr>
            <w:tcW w:w="0" w:type="auto"/>
          </w:tcPr>
          <w:p w14:paraId="2214DD8D">
            <w:pPr>
              <w:tabs>
                <w:tab w:val="left" w:pos="5400"/>
              </w:tabs>
              <w:jc w:val="center"/>
              <w:rPr>
                <w:sz w:val="20"/>
              </w:rPr>
            </w:pPr>
            <w:r>
              <w:rPr>
                <w:sz w:val="20"/>
              </w:rPr>
              <w:t>22</w:t>
            </w:r>
          </w:p>
        </w:tc>
        <w:tc>
          <w:tcPr>
            <w:tcW w:w="8687" w:type="dxa"/>
          </w:tcPr>
          <w:p w14:paraId="6F1C56BF">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311621DA">
            <w:pPr>
              <w:tabs>
                <w:tab w:val="left" w:pos="5400"/>
              </w:tabs>
              <w:rPr>
                <w:rFonts w:hint="default" w:eastAsia="宋体"/>
                <w:sz w:val="20"/>
                <w:lang w:val="en-US" w:eastAsia="zh-CN"/>
              </w:rPr>
            </w:pPr>
            <w:r>
              <w:rPr>
                <w:rFonts w:hint="eastAsia" w:eastAsia="宋体"/>
                <w:sz w:val="20"/>
                <w:lang w:val="en-US" w:eastAsia="zh-CN"/>
              </w:rPr>
              <w:t>12</w:t>
            </w:r>
          </w:p>
        </w:tc>
        <w:tc>
          <w:tcPr>
            <w:tcW w:w="3129" w:type="dxa"/>
          </w:tcPr>
          <w:p w14:paraId="3EDFCEEA">
            <w:pPr>
              <w:tabs>
                <w:tab w:val="left" w:pos="5400"/>
              </w:tabs>
              <w:rPr>
                <w:sz w:val="20"/>
              </w:rPr>
            </w:pPr>
            <w:r>
              <w:rPr>
                <w:rFonts w:hint="eastAsia"/>
                <w:sz w:val="20"/>
              </w:rPr>
              <w:t>This work was founded by Hunan Provincial Health and Wellness Committee (No: D202314019348), Yueyang Science and Technology Department in China (No: 2024-11), Project of Yueyang Central Hospital (No:YYSZXYN2023011).</w:t>
            </w:r>
          </w:p>
        </w:tc>
      </w:tr>
      <w:bookmarkEnd w:id="94"/>
      <w:bookmarkEnd w:id="95"/>
    </w:tbl>
    <w:p w14:paraId="03ABB37D">
      <w:pPr>
        <w:pStyle w:val="154"/>
        <w:tabs>
          <w:tab w:val="left" w:pos="5400"/>
        </w:tabs>
        <w:rPr>
          <w:bCs/>
          <w:sz w:val="20"/>
        </w:rPr>
      </w:pPr>
    </w:p>
    <w:p w14:paraId="631998BE">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4159E721">
      <w:pPr>
        <w:pStyle w:val="154"/>
        <w:tabs>
          <w:tab w:val="left" w:pos="5400"/>
        </w:tabs>
        <w:rPr>
          <w:sz w:val="20"/>
        </w:rPr>
      </w:pPr>
    </w:p>
    <w:p w14:paraId="21B1E6C6">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footerReference r:id="rId5" w:type="default"/>
      <w:footerReference r:id="rId6"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4110">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2C75E7F9">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6064F">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1897AD8D">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A72B0"/>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03DB71A8"/>
    <w:rsid w:val="1B844731"/>
    <w:rsid w:val="1F8B23B1"/>
    <w:rsid w:val="2C194823"/>
    <w:rsid w:val="41AB0C7D"/>
    <w:rsid w:val="45C2714B"/>
    <w:rsid w:val="485350B8"/>
    <w:rsid w:val="49FD0A4E"/>
    <w:rsid w:val="521D5527"/>
    <w:rsid w:val="5C8C6F77"/>
    <w:rsid w:val="60E23AF9"/>
    <w:rsid w:val="6314275D"/>
    <w:rsid w:val="631D37BF"/>
    <w:rsid w:val="63F77D13"/>
    <w:rsid w:val="65C46D11"/>
    <w:rsid w:val="7C83191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uiPriority w:val="99"/>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numPr>
        <w:ilvl w:val="0"/>
        <w:numId w:val="2"/>
      </w:numPr>
    </w:pPr>
  </w:style>
  <w:style w:type="paragraph" w:styleId="14">
    <w:name w:val="Note Heading"/>
    <w:basedOn w:val="1"/>
    <w:next w:val="1"/>
    <w:uiPriority w:val="0"/>
  </w:style>
  <w:style w:type="paragraph" w:styleId="15">
    <w:name w:val="List Bullet 4"/>
    <w:basedOn w:val="1"/>
    <w:autoRedefine/>
    <w:uiPriority w:val="0"/>
    <w:pPr>
      <w:numPr>
        <w:ilvl w:val="0"/>
        <w:numId w:val="3"/>
      </w:numPr>
    </w:pPr>
  </w:style>
  <w:style w:type="paragraph" w:styleId="16">
    <w:name w:val="index 8"/>
    <w:basedOn w:val="1"/>
    <w:next w:val="1"/>
    <w:autoRedefine/>
    <w:semiHidden/>
    <w:uiPriority w:val="0"/>
    <w:pPr>
      <w:ind w:left="1920" w:hanging="240"/>
    </w:pPr>
  </w:style>
  <w:style w:type="paragraph" w:styleId="17">
    <w:name w:val="E-mail Signature"/>
    <w:basedOn w:val="1"/>
    <w:uiPriority w:val="0"/>
  </w:style>
  <w:style w:type="paragraph" w:styleId="18">
    <w:name w:val="List Number"/>
    <w:basedOn w:val="1"/>
    <w:uiPriority w:val="0"/>
    <w:pPr>
      <w:numPr>
        <w:ilvl w:val="0"/>
        <w:numId w:val="4"/>
      </w:numPr>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uiPriority w:val="0"/>
    <w:pPr>
      <w:ind w:left="1440" w:hanging="240"/>
    </w:pPr>
  </w:style>
  <w:style w:type="paragraph" w:styleId="27">
    <w:name w:val="Salutation"/>
    <w:basedOn w:val="1"/>
    <w:next w:val="1"/>
    <w:uiPriority w:val="0"/>
  </w:style>
  <w:style w:type="paragraph" w:styleId="28">
    <w:name w:val="Body Text 3"/>
    <w:basedOn w:val="1"/>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uiPriority w:val="0"/>
    <w:pPr>
      <w:numPr>
        <w:ilvl w:val="0"/>
        <w:numId w:val="6"/>
      </w:numPr>
    </w:pPr>
  </w:style>
  <w:style w:type="paragraph" w:styleId="31">
    <w:name w:val="Body Text"/>
    <w:basedOn w:val="1"/>
    <w:uiPriority w:val="0"/>
    <w:pPr>
      <w:spacing w:after="120"/>
    </w:pPr>
  </w:style>
  <w:style w:type="paragraph" w:styleId="32">
    <w:name w:val="Body Text Indent"/>
    <w:basedOn w:val="1"/>
    <w:uiPriority w:val="0"/>
    <w:pPr>
      <w:spacing w:after="120"/>
      <w:ind w:left="283"/>
    </w:pPr>
  </w:style>
  <w:style w:type="paragraph" w:styleId="33">
    <w:name w:val="List Number 3"/>
    <w:basedOn w:val="1"/>
    <w:uiPriority w:val="0"/>
    <w:pPr>
      <w:numPr>
        <w:ilvl w:val="0"/>
        <w:numId w:val="7"/>
      </w:numPr>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uiPriority w:val="0"/>
    <w:pPr>
      <w:numPr>
        <w:ilvl w:val="0"/>
        <w:numId w:val="8"/>
      </w:numPr>
    </w:pPr>
  </w:style>
  <w:style w:type="paragraph" w:styleId="38">
    <w:name w:val="HTML Address"/>
    <w:basedOn w:val="1"/>
    <w:uiPriority w:val="0"/>
    <w:rPr>
      <w:i/>
      <w:iCs/>
    </w:rPr>
  </w:style>
  <w:style w:type="paragraph" w:styleId="39">
    <w:name w:val="index 4"/>
    <w:basedOn w:val="1"/>
    <w:next w:val="1"/>
    <w:autoRedefine/>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uiPriority w:val="0"/>
    <w:pPr>
      <w:numPr>
        <w:ilvl w:val="0"/>
        <w:numId w:val="9"/>
      </w:numPr>
    </w:pPr>
  </w:style>
  <w:style w:type="paragraph" w:styleId="42">
    <w:name w:val="List Number 4"/>
    <w:basedOn w:val="1"/>
    <w:uiPriority w:val="0"/>
    <w:pPr>
      <w:numPr>
        <w:ilvl w:val="0"/>
        <w:numId w:val="10"/>
      </w:numPr>
    </w:pPr>
  </w:style>
  <w:style w:type="paragraph" w:styleId="43">
    <w:name w:val="index 3"/>
    <w:basedOn w:val="1"/>
    <w:next w:val="1"/>
    <w:autoRedefine/>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uiPriority w:val="0"/>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autoRedefine/>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numPr>
        <w:ilvl w:val="0"/>
        <w:numId w:val="11"/>
      </w:numPr>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autoRedefine/>
    <w:semiHidden/>
    <w:uiPriority w:val="0"/>
    <w:pPr>
      <w:ind w:left="1680" w:hanging="240"/>
    </w:pPr>
  </w:style>
  <w:style w:type="paragraph" w:styleId="62">
    <w:name w:val="index 9"/>
    <w:basedOn w:val="1"/>
    <w:next w:val="1"/>
    <w:autoRedefine/>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uiPriority w:val="0"/>
    <w:rPr>
      <w:color w:val="800080"/>
      <w:u w:val="single"/>
    </w:rPr>
  </w:style>
  <w:style w:type="character" w:styleId="80">
    <w:name w:val="Emphasis"/>
    <w:basedOn w:val="76"/>
    <w:qFormat/>
    <w:uiPriority w:val="0"/>
    <w:rPr>
      <w:i/>
      <w:iCs/>
    </w:rPr>
  </w:style>
  <w:style w:type="character" w:styleId="81">
    <w:name w:val="line number"/>
    <w:basedOn w:val="76"/>
    <w:uiPriority w:val="0"/>
  </w:style>
  <w:style w:type="character" w:styleId="82">
    <w:name w:val="HTML Definition"/>
    <w:basedOn w:val="76"/>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uiPriority w:val="0"/>
    <w:rPr>
      <w:i/>
      <w:iCs/>
    </w:rPr>
  </w:style>
  <w:style w:type="character" w:styleId="90">
    <w:name w:val="footnote reference"/>
    <w:basedOn w:val="76"/>
    <w:semiHidden/>
    <w:uiPriority w:val="0"/>
    <w:rPr>
      <w:vertAlign w:val="superscript"/>
    </w:rPr>
  </w:style>
  <w:style w:type="character" w:styleId="91">
    <w:name w:val="HTML Keyboard"/>
    <w:basedOn w:val="76"/>
    <w:uiPriority w:val="0"/>
    <w:rPr>
      <w:rFonts w:ascii="Courier New" w:hAnsi="Courier New"/>
      <w:sz w:val="20"/>
      <w:szCs w:val="20"/>
    </w:rPr>
  </w:style>
  <w:style w:type="character" w:styleId="92">
    <w:name w:val="HTML Sample"/>
    <w:basedOn w:val="76"/>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uiPriority w:val="0"/>
    <w:rPr>
      <w:color w:val="666699"/>
    </w:rPr>
  </w:style>
  <w:style w:type="paragraph" w:customStyle="1" w:styleId="159">
    <w:name w:val="WebRef"/>
    <w:basedOn w:val="1"/>
    <w:uiPriority w:val="0"/>
    <w:pPr>
      <w:numPr>
        <w:ilvl w:val="0"/>
        <w:numId w:val="15"/>
      </w:numPr>
      <w:tabs>
        <w:tab w:val="left" w:pos="720"/>
        <w:tab w:val="clear" w:pos="1800"/>
      </w:tabs>
      <w:ind w:left="360"/>
    </w:pPr>
  </w:style>
  <w:style w:type="character" w:customStyle="1" w:styleId="160">
    <w:name w:val="XRef"/>
    <w:basedOn w:val="76"/>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uiPriority w:val="0"/>
    <w:rPr>
      <w:color w:val="666699"/>
    </w:rPr>
  </w:style>
  <w:style w:type="paragraph" w:customStyle="1" w:styleId="163">
    <w:name w:val="BoxStartx"/>
    <w:basedOn w:val="105"/>
    <w:uiPriority w:val="0"/>
  </w:style>
  <w:style w:type="character" w:customStyle="1" w:styleId="164">
    <w:name w:val="ParaHead"/>
    <w:basedOn w:val="76"/>
    <w:uiPriority w:val="0"/>
    <w:rPr>
      <w:color w:val="999999"/>
      <w:shd w:val="clear" w:color="auto" w:fill="auto"/>
    </w:rPr>
  </w:style>
  <w:style w:type="paragraph" w:customStyle="1" w:styleId="165">
    <w:name w:val="ObitBiog"/>
    <w:basedOn w:val="112"/>
    <w:uiPriority w:val="0"/>
    <w:pPr>
      <w:spacing w:before="120" w:line="260" w:lineRule="exact"/>
      <w:ind w:firstLine="0"/>
    </w:pPr>
    <w:rPr>
      <w:b/>
      <w:i/>
      <w:sz w:val="22"/>
    </w:rPr>
  </w:style>
  <w:style w:type="paragraph" w:customStyle="1" w:styleId="166">
    <w:name w:val="TableHeader"/>
    <w:basedOn w:val="112"/>
    <w:uiPriority w:val="0"/>
    <w:pPr>
      <w:spacing w:before="120" w:line="240" w:lineRule="auto"/>
      <w:ind w:firstLine="0"/>
    </w:pPr>
    <w:rPr>
      <w:b/>
    </w:rPr>
  </w:style>
  <w:style w:type="character" w:customStyle="1" w:styleId="167">
    <w:name w:val="Image"/>
    <w:basedOn w:val="133"/>
    <w:uiPriority w:val="0"/>
    <w:rPr>
      <w:b/>
      <w:color w:val="00FF00"/>
    </w:rPr>
  </w:style>
  <w:style w:type="paragraph" w:customStyle="1" w:styleId="168">
    <w:name w:val="TableSubHead"/>
    <w:basedOn w:val="166"/>
    <w:uiPriority w:val="0"/>
  </w:style>
  <w:style w:type="paragraph" w:customStyle="1" w:styleId="169">
    <w:name w:val="ArtGroup"/>
    <w:basedOn w:val="111"/>
    <w:uiPriority w:val="0"/>
    <w:rPr>
      <w:sz w:val="22"/>
    </w:rPr>
  </w:style>
  <w:style w:type="paragraph" w:customStyle="1" w:styleId="170">
    <w:name w:val="Biog"/>
    <w:basedOn w:val="94"/>
    <w:uiPriority w:val="0"/>
  </w:style>
  <w:style w:type="paragraph" w:customStyle="1" w:styleId="171">
    <w:name w:val="SearchInfo"/>
    <w:basedOn w:val="1"/>
    <w:uiPriority w:val="0"/>
    <w:pPr>
      <w:spacing w:before="120" w:line="240" w:lineRule="exact"/>
    </w:pPr>
  </w:style>
  <w:style w:type="paragraph" w:customStyle="1" w:styleId="172">
    <w:name w:val="SeriesInfo"/>
    <w:basedOn w:val="1"/>
    <w:uiPriority w:val="0"/>
    <w:pPr>
      <w:spacing w:before="120" w:line="240" w:lineRule="exact"/>
    </w:pPr>
  </w:style>
  <w:style w:type="paragraph" w:customStyle="1" w:styleId="173">
    <w:name w:val="Remark"/>
    <w:basedOn w:val="1"/>
    <w:uiPriority w:val="0"/>
    <w:rPr>
      <w:color w:val="FF0000"/>
    </w:rPr>
  </w:style>
  <w:style w:type="paragraph" w:customStyle="1" w:styleId="174">
    <w:name w:val="BoxStart4"/>
    <w:basedOn w:val="107"/>
    <w:uiPriority w:val="0"/>
  </w:style>
  <w:style w:type="paragraph" w:customStyle="1" w:styleId="175">
    <w:name w:val="Bibliography"/>
    <w:basedOn w:val="144"/>
    <w:uiPriority w:val="0"/>
    <w:pPr>
      <w:numPr>
        <w:ilvl w:val="0"/>
        <w:numId w:val="0"/>
      </w:numPr>
    </w:pPr>
  </w:style>
  <w:style w:type="paragraph" w:customStyle="1" w:styleId="176">
    <w:name w:val="PullQuote"/>
    <w:basedOn w:val="114"/>
    <w:uiPriority w:val="0"/>
  </w:style>
  <w:style w:type="paragraph" w:customStyle="1" w:styleId="177">
    <w:name w:val="AncillHead"/>
    <w:basedOn w:val="125"/>
    <w:uiPriority w:val="0"/>
  </w:style>
  <w:style w:type="paragraph" w:customStyle="1" w:styleId="178">
    <w:name w:val="RefHead"/>
    <w:basedOn w:val="125"/>
    <w:uiPriority w:val="0"/>
  </w:style>
  <w:style w:type="paragraph" w:customStyle="1" w:styleId="179">
    <w:name w:val="FlushQuote"/>
    <w:basedOn w:val="114"/>
    <w:uiPriority w:val="0"/>
    <w:pPr>
      <w:ind w:left="0" w:right="0"/>
    </w:pPr>
    <w:rPr>
      <w:sz w:val="22"/>
    </w:rPr>
  </w:style>
  <w:style w:type="paragraph" w:customStyle="1" w:styleId="180">
    <w:name w:val="ProductTitle"/>
    <w:basedOn w:val="1"/>
    <w:next w:val="140"/>
    <w:uiPriority w:val="0"/>
    <w:rPr>
      <w:b/>
      <w:sz w:val="28"/>
    </w:rPr>
  </w:style>
  <w:style w:type="paragraph" w:customStyle="1" w:styleId="181">
    <w:name w:val="EthicalApproval"/>
    <w:basedOn w:val="137"/>
    <w:uiPriority w:val="0"/>
  </w:style>
  <w:style w:type="paragraph" w:customStyle="1" w:styleId="182">
    <w:name w:val="Abrv-Title"/>
    <w:basedOn w:val="1"/>
    <w:autoRedefine/>
    <w:uiPriority w:val="0"/>
  </w:style>
  <w:style w:type="paragraph" w:customStyle="1" w:styleId="183">
    <w:name w:val="Web logo"/>
    <w:basedOn w:val="1"/>
    <w:uiPriority w:val="0"/>
  </w:style>
  <w:style w:type="character" w:customStyle="1" w:styleId="184">
    <w:name w:val="Preformatted"/>
    <w:basedOn w:val="76"/>
    <w:uiPriority w:val="0"/>
  </w:style>
  <w:style w:type="paragraph" w:customStyle="1" w:styleId="185">
    <w:name w:val="Auxillary Number"/>
    <w:basedOn w:val="1"/>
    <w:autoRedefine/>
    <w:uiPriority w:val="0"/>
  </w:style>
  <w:style w:type="paragraph" w:customStyle="1" w:styleId="186">
    <w:name w:val="DOI"/>
    <w:basedOn w:val="1"/>
    <w:autoRedefine/>
    <w:uiPriority w:val="0"/>
  </w:style>
  <w:style w:type="paragraph" w:customStyle="1" w:styleId="187">
    <w:name w:val="Unit-ID"/>
    <w:basedOn w:val="1"/>
    <w:autoRedefine/>
    <w:uiPriority w:val="0"/>
  </w:style>
  <w:style w:type="paragraph" w:customStyle="1" w:styleId="188">
    <w:name w:val="Abbreviation"/>
    <w:basedOn w:val="1"/>
    <w:uiPriority w:val="0"/>
  </w:style>
  <w:style w:type="paragraph" w:customStyle="1" w:styleId="189">
    <w:name w:val="Appendix"/>
    <w:basedOn w:val="1"/>
    <w:uiPriority w:val="0"/>
    <w:rPr>
      <w:b/>
    </w:rPr>
  </w:style>
  <w:style w:type="paragraph" w:customStyle="1" w:styleId="190">
    <w:name w:val="Authored by"/>
    <w:basedOn w:val="1"/>
    <w:uiPriority w:val="0"/>
    <w:rPr>
      <w:b/>
      <w:sz w:val="28"/>
    </w:rPr>
  </w:style>
  <w:style w:type="paragraph" w:customStyle="1" w:styleId="191">
    <w:name w:val="BookDetails"/>
    <w:basedOn w:val="1"/>
    <w:uiPriority w:val="0"/>
  </w:style>
  <w:style w:type="paragraph" w:customStyle="1" w:styleId="192">
    <w:name w:val="BoxStart"/>
    <w:basedOn w:val="1"/>
    <w:uiPriority w:val="0"/>
  </w:style>
  <w:style w:type="paragraph" w:customStyle="1" w:styleId="193">
    <w:name w:val="Citation"/>
    <w:basedOn w:val="1"/>
    <w:autoRedefine/>
    <w:uiPriority w:val="0"/>
  </w:style>
  <w:style w:type="paragraph" w:customStyle="1" w:styleId="194">
    <w:name w:val="Correspondent"/>
    <w:basedOn w:val="1"/>
    <w:autoRedefine/>
    <w:uiPriority w:val="0"/>
  </w:style>
  <w:style w:type="paragraph" w:customStyle="1" w:styleId="195">
    <w:name w:val="EquationText"/>
    <w:basedOn w:val="1"/>
    <w:autoRedefine/>
    <w:uiPriority w:val="0"/>
  </w:style>
  <w:style w:type="paragraph" w:customStyle="1" w:styleId="196">
    <w:name w:val="Footnotes"/>
    <w:basedOn w:val="1"/>
    <w:uiPriority w:val="0"/>
  </w:style>
  <w:style w:type="paragraph" w:customStyle="1" w:styleId="197">
    <w:name w:val="KeyWords"/>
    <w:basedOn w:val="1"/>
    <w:autoRedefine/>
    <w:uiPriority w:val="0"/>
  </w:style>
  <w:style w:type="paragraph" w:customStyle="1" w:styleId="198">
    <w:name w:val="ListParaMore"/>
    <w:basedOn w:val="1"/>
    <w:autoRedefine/>
    <w:uiPriority w:val="0"/>
  </w:style>
  <w:style w:type="paragraph" w:customStyle="1" w:styleId="199">
    <w:name w:val="Onlinefirst"/>
    <w:basedOn w:val="1"/>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uiPriority w:val="0"/>
  </w:style>
  <w:style w:type="paragraph" w:customStyle="1" w:styleId="202">
    <w:name w:val="Related"/>
    <w:basedOn w:val="1"/>
    <w:uiPriority w:val="0"/>
    <w:rPr>
      <w:b/>
      <w:i/>
    </w:rPr>
  </w:style>
  <w:style w:type="paragraph" w:customStyle="1" w:styleId="203">
    <w:name w:val="RespTitle"/>
    <w:basedOn w:val="1"/>
    <w:autoRedefine/>
    <w:uiPriority w:val="0"/>
    <w:rPr>
      <w:b/>
    </w:rPr>
  </w:style>
  <w:style w:type="paragraph" w:customStyle="1" w:styleId="204">
    <w:name w:val="ShortAuthors"/>
    <w:basedOn w:val="1"/>
    <w:autoRedefine/>
    <w:uiPriority w:val="0"/>
  </w:style>
  <w:style w:type="paragraph" w:customStyle="1" w:styleId="205">
    <w:name w:val="Table Footnote"/>
    <w:basedOn w:val="1"/>
    <w:uiPriority w:val="0"/>
    <w:rPr>
      <w:rFonts w:ascii="Arial" w:hAnsi="Arial"/>
      <w:sz w:val="22"/>
    </w:rPr>
  </w:style>
  <w:style w:type="paragraph" w:customStyle="1" w:styleId="206">
    <w:name w:val="Topic(s)"/>
    <w:basedOn w:val="1"/>
    <w:autoRedefine/>
    <w:uiPriority w:val="0"/>
    <w:rPr>
      <w:i/>
    </w:rPr>
  </w:style>
  <w:style w:type="paragraph" w:customStyle="1" w:styleId="207">
    <w:name w:val="Revised"/>
    <w:basedOn w:val="1"/>
    <w:autoRedefine/>
    <w:uiPriority w:val="0"/>
  </w:style>
  <w:style w:type="paragraph" w:customStyle="1" w:styleId="208">
    <w:name w:val="Table Width"/>
    <w:basedOn w:val="1"/>
    <w:uiPriority w:val="0"/>
  </w:style>
  <w:style w:type="paragraph" w:customStyle="1" w:styleId="209">
    <w:name w:val="Table Font"/>
    <w:basedOn w:val="1"/>
    <w:uiPriority w:val="0"/>
  </w:style>
  <w:style w:type="paragraph" w:customStyle="1" w:styleId="210">
    <w:name w:val="Article Title"/>
    <w:basedOn w:val="1"/>
    <w:uiPriority w:val="0"/>
    <w:rPr>
      <w:rFonts w:ascii="Arial" w:hAnsi="Arial"/>
      <w:b/>
      <w:sz w:val="36"/>
    </w:rPr>
  </w:style>
  <w:style w:type="paragraph" w:customStyle="1" w:styleId="211">
    <w:name w:val="BNF Number"/>
    <w:basedOn w:val="1"/>
    <w:uiPriority w:val="0"/>
    <w:rPr>
      <w:rFonts w:ascii="Arial" w:hAnsi="Arial"/>
      <w:b/>
      <w:sz w:val="22"/>
    </w:rPr>
  </w:style>
  <w:style w:type="paragraph" w:customStyle="1" w:styleId="212">
    <w:name w:val="Introduction"/>
    <w:basedOn w:val="1"/>
    <w:uiPriority w:val="0"/>
    <w:rPr>
      <w:rFonts w:ascii="Arial" w:hAnsi="Arial"/>
      <w:sz w:val="22"/>
    </w:rPr>
  </w:style>
  <w:style w:type="paragraph" w:customStyle="1" w:styleId="213">
    <w:name w:val="Paragraph"/>
    <w:basedOn w:val="1"/>
    <w:uiPriority w:val="0"/>
    <w:rPr>
      <w:rFonts w:ascii="Arial" w:hAnsi="Arial"/>
      <w:sz w:val="22"/>
    </w:rPr>
  </w:style>
  <w:style w:type="paragraph" w:customStyle="1" w:styleId="214">
    <w:name w:val="Table Head"/>
    <w:basedOn w:val="1"/>
    <w:uiPriority w:val="0"/>
    <w:rPr>
      <w:rFonts w:ascii="Arial" w:hAnsi="Arial"/>
      <w:b/>
      <w:sz w:val="22"/>
    </w:rPr>
  </w:style>
  <w:style w:type="paragraph" w:customStyle="1" w:styleId="215">
    <w:name w:val="Table Body"/>
    <w:basedOn w:val="1"/>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uiPriority w:val="0"/>
    <w:rPr>
      <w:rFonts w:ascii="Arial" w:hAnsi="Arial"/>
      <w:sz w:val="20"/>
    </w:rPr>
  </w:style>
  <w:style w:type="paragraph" w:customStyle="1" w:styleId="218">
    <w:name w:val="normal"/>
    <w:uiPriority w:val="0"/>
    <w:pPr>
      <w:spacing w:line="276" w:lineRule="auto"/>
      <w:contextualSpacing/>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Template>
  <Company>irisq</Company>
  <Pages>14</Pages>
  <Words>660</Words>
  <Characters>3885</Characters>
  <Lines>39</Lines>
  <Paragraphs>11</Paragraphs>
  <TotalTime>0</TotalTime>
  <ScaleCrop>false</ScaleCrop>
  <LinksUpToDate>false</LinksUpToDate>
  <CharactersWithSpaces>4478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张琼</cp:lastModifiedBy>
  <cp:lastPrinted>2014-09-01T08:36:00Z</cp:lastPrinted>
  <dcterms:modified xsi:type="dcterms:W3CDTF">2025-04-17T07:58:04Z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eyJoZGlkIjoiOTY4NDRlN2VmY2E1OWI3MzJkZmY1MDZlZWE3MTAxMmYiLCJ1c2VySWQiOiIyOTE3Mjg3NzkifQ==</vt:lpwstr>
  </property>
  <property fmtid="{D5CDD505-2E9C-101B-9397-08002B2CF9AE}" pid="8" name="KSOProductBuildVer">
    <vt:lpwstr>2052-12.1.0.20305</vt:lpwstr>
  </property>
  <property fmtid="{D5CDD505-2E9C-101B-9397-08002B2CF9AE}" pid="9" name="ICV">
    <vt:lpwstr>AC41994C25CF4F43AF13C10AF740EB98_12</vt:lpwstr>
  </property>
</Properties>
</file>