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32AA9" w14:textId="1A041948" w:rsidR="00EF4B94" w:rsidRDefault="00914C56" w:rsidP="00914C56">
      <w:pPr>
        <w:rPr>
          <w:rFonts w:eastAsia="Times New Roman"/>
          <w:b/>
          <w:sz w:val="20"/>
          <w:szCs w:val="20"/>
          <w:lang w:eastAsia="en-GB"/>
        </w:rPr>
      </w:pPr>
      <w:r w:rsidRPr="00F3611A">
        <w:rPr>
          <w:rFonts w:eastAsia="Times New Roman"/>
          <w:b/>
          <w:sz w:val="20"/>
          <w:szCs w:val="20"/>
          <w:lang w:eastAsia="en-GB"/>
        </w:rPr>
        <w:t xml:space="preserve">STROBE-MR checklist of recommended items to address </w:t>
      </w:r>
      <w:r>
        <w:rPr>
          <w:rFonts w:eastAsia="Times New Roman"/>
          <w:b/>
          <w:sz w:val="20"/>
          <w:szCs w:val="20"/>
          <w:lang w:eastAsia="en-GB"/>
        </w:rPr>
        <w:t>in reports of Mendelian randomiz</w:t>
      </w:r>
      <w:r w:rsidRPr="00F3611A">
        <w:rPr>
          <w:rFonts w:eastAsia="Times New Roman"/>
          <w:b/>
          <w:sz w:val="20"/>
          <w:szCs w:val="20"/>
          <w:lang w:eastAsia="en-GB"/>
        </w:rPr>
        <w:t>ation studies</w:t>
      </w:r>
      <w:r w:rsidR="009854A9">
        <w:rPr>
          <w:rFonts w:eastAsia="Times New Roman"/>
          <w:b/>
          <w:sz w:val="20"/>
          <w:szCs w:val="20"/>
          <w:lang w:eastAsia="en-GB"/>
        </w:rPr>
        <w:fldChar w:fldCharType="begin" w:fldLock="1"/>
      </w:r>
      <w:r w:rsidR="009854A9">
        <w:rPr>
          <w:rFonts w:eastAsia="Times New Roman"/>
          <w:b/>
          <w:sz w:val="20"/>
          <w:szCs w:val="20"/>
          <w:lang w:eastAsia="en-GB"/>
        </w:rPr>
        <w:instrText>ADDIN CSL_CITATION {"citationItems":[{"id":"ITEM-1","itemData":{"author":[{"dropping-particle":"","family":"Skrivankova","given":"V W","non-dropping-particle":"","parse-names":false,"suffix":""},{"dropping-particle":"","family":"Richmond","given":"R C","non-dropping-particle":"","parse-names":false,"suffix":""},{"dropping-particle":"","family":"Woolf","given":"B A R","non-dropping-particle":"","parse-names":false,"suffix":""},{"dropping-particle":"","family":"Yarmolinsky","given":"J","non-dropping-particle":"","parse-names":false,"suffix":""},{"dropping-particle":"","family":"Davies","given":"N M","non-dropping-particle":"","parse-names":false,"suffix":""},{"dropping-particle":"","family":"Swanson","given":"S A","non-dropping-particle":"","parse-names":false,"suffix":""},{"dropping-particle":"","family":"VanderWeele","given":"T J","non-dropping-particle":"","parse-names":false,"suffix":""},{"dropping-particle":"","family":"Higgins","given":"J P H","non-dropping-particle":"","parse-names":false,"suffix":""},{"dropping-particle":"","family":"Timpson","given":"N J","non-dropping-particle":"","parse-names":false,"suffix":""},{"dropping-particle":"","family":"Dimou","given":"N","non-dropping-particle":"","parse-names":false,"suffix":""},{"dropping-particle":"","family":"Langenberg","given":"C","non-dropping-particle":"","parse-names":false,"suffix":""},{"dropping-particle":"","family":"Loder","given":"E W","non-dropping-particle":"","parse-names":false,"suffix":""},{"dropping-particle":"","family":"Golub","given":"R","non-dropping-particle":"","parse-names":false,"suffix":""},{"dropping-particle":"","family":"Gallo","given":"V","non-dropping-particle":"","parse-names":false,"suffix":""},{"dropping-particle":"","family":"Tybjaerg-Hansen","given":"A","non-dropping-particle":"","parse-names":false,"suffix":""},{"dropping-particle":"","family":"Davey Smith","given":"G","non-dropping-particle":"","parse-names":false,"suffix":""},{"dropping-particle":"","family":"Egger","given":"M","non-dropping-particle":"","parse-names":false,"suffix":""},{"dropping-particle":"","family":"Richards","given":"J B","non-dropping-particle":"","parse-names":false,"suffix":""}],"container-title":"JAMA","id":"ITEM-1","issued":{"date-parts":[["2021"]]},"page":"under review","title":"Strengthening the Reporting of Observational Studies in Epidemiology using Mendelian Randomization (STROBE-MR) Statement","type":"article-journal"},"uris":["http://www.mendeley.com/documents/?uuid=29dd9aa2-14fd-450b-83fb-4c6b74b75061"]}],"mendeley":{"formattedCitation":"&lt;sup&gt;1&lt;/sup&gt;","plainTextFormattedCitation":"1"},"properties":{"noteIndex":0},"schema":"https://github.com/citation-style-language/schema/raw/master/csl-citation.json"}</w:instrText>
      </w:r>
      <w:r w:rsidR="009854A9">
        <w:rPr>
          <w:rFonts w:eastAsia="Times New Roman"/>
          <w:b/>
          <w:sz w:val="20"/>
          <w:szCs w:val="20"/>
          <w:lang w:eastAsia="en-GB"/>
        </w:rPr>
        <w:fldChar w:fldCharType="separate"/>
      </w:r>
      <w:r w:rsidR="009854A9" w:rsidRPr="009854A9">
        <w:rPr>
          <w:rFonts w:eastAsia="Times New Roman"/>
          <w:noProof/>
          <w:sz w:val="20"/>
          <w:szCs w:val="20"/>
          <w:vertAlign w:val="superscript"/>
          <w:lang w:eastAsia="en-GB"/>
        </w:rPr>
        <w:t>1</w:t>
      </w:r>
      <w:r w:rsidR="009854A9">
        <w:rPr>
          <w:rFonts w:eastAsia="Times New Roman"/>
          <w:b/>
          <w:sz w:val="20"/>
          <w:szCs w:val="20"/>
          <w:lang w:eastAsia="en-GB"/>
        </w:rPr>
        <w:fldChar w:fldCharType="end"/>
      </w:r>
      <w:r w:rsidR="009854A9">
        <w:rPr>
          <w:rFonts w:eastAsia="Times New Roman"/>
          <w:b/>
          <w:sz w:val="20"/>
          <w:szCs w:val="20"/>
          <w:lang w:eastAsia="en-GB"/>
        </w:rPr>
        <w:t xml:space="preserve"> </w:t>
      </w:r>
      <w:r w:rsidR="00804498">
        <w:rPr>
          <w:rFonts w:eastAsia="Times New Roman"/>
          <w:b/>
          <w:sz w:val="20"/>
          <w:szCs w:val="20"/>
          <w:lang w:eastAsia="en-GB"/>
        </w:rPr>
        <w:fldChar w:fldCharType="begin" w:fldLock="1"/>
      </w:r>
      <w:r w:rsidR="009854A9">
        <w:rPr>
          <w:rFonts w:eastAsia="Times New Roman"/>
          <w:b/>
          <w:sz w:val="20"/>
          <w:szCs w:val="20"/>
          <w:lang w:eastAsia="en-GB"/>
        </w:rPr>
        <w:instrText>ADDIN CSL_CITATION {"citationItems":[{"id":"ITEM-1","itemData":{"author":[{"dropping-particle":"","family":"Skrivankova","given":"Veronika W","non-dropping-particle":"","parse-names":false,"suffix":""},{"dropping-particle":"","family":"Richmond","given":"Rebecca C","non-dropping-particle":"","parse-names":false,"suffix":""},{"dropping-particle":"","family":"Woolf","given":"Benjamin A R","non-dropping-particle":"","parse-names":false,"suffix":""},{"dropping-particle":"","family":"Davies","given":"Neil M","non-dropping-particle":"","parse-names":false,"suffix":""},{"dropping-particle":"","family":"Swanson","given":"Sonja A","non-dropping-particle":"","parse-names":false,"suffix":""},{"dropping-particle":"","family":"VanderWeele","given":"Tyler J","non-dropping-particle":"","parse-names":false,"suffix":""},{"dropping-particle":"","family":"Timpson","given":"Nicholas J","non-dropping-particle":"","parse-names":false,"suffix":""},{"dropping-particle":"","family":"Higgins","given":"Julian P T","non-dropping-particle":"","parse-names":false,"suffix":""},{"dropping-particle":"","family":"Dimou","given":"Niki","non-dropping-particle":"","parse-names":false,"suffix":""},{"dropping-particle":"","family":"Langenberg","given":"Claudia","non-dropping-particle":"","parse-names":false,"suffix":""},{"dropping-particle":"","family":"Loder","given":"Elizabeth W","non-dropping-particle":"","parse-names":false,"suffix":""},{"dropping-particle":"","family":"Golub","given":"Robert M","non-dropping-particle":"","parse-names":false,"suffix":""},{"dropping-particle":"","family":"Egger","given":"Mathias","non-dropping-particle":"","parse-names":false,"suffix":""},{"dropping-particle":"","family":"Davey Smith","given":"George","non-dropping-particle":"","parse-names":false,"suffix":""},{"dropping-particle":"","family":"Richards","given":"J Brent","non-dropping-particle":"","parse-names":false,"suffix":""}],"container-title":"BMJ","id":"ITEM-1","issued":{"date-parts":[["2021"]]},"title":"Strengthening the Reporting of Observational Studies in Epidemiology using Mendelian Randomisation (STROBE-MR): Explanation and Elaboration","type":"article-journal","volume":"375:n2233"},"uris":["http://www.mendeley.com/documents/?uuid=af64eb33-5308-4d72-bd7e-6fe0d8fe3570"]}],"mendeley":{"formattedCitation":"&lt;sup&gt;2&lt;/sup&gt;","plainTextFormattedCitation":"2","previouslyFormattedCitation":"&lt;sup&gt;1&lt;/sup&gt;"},"properties":{"noteIndex":0},"schema":"https://github.com/citation-style-language/schema/raw/master/csl-citation.json"}</w:instrText>
      </w:r>
      <w:r w:rsidR="00804498">
        <w:rPr>
          <w:rFonts w:eastAsia="Times New Roman"/>
          <w:b/>
          <w:sz w:val="20"/>
          <w:szCs w:val="20"/>
          <w:lang w:eastAsia="en-GB"/>
        </w:rPr>
        <w:fldChar w:fldCharType="separate"/>
      </w:r>
      <w:r w:rsidR="009854A9" w:rsidRPr="009854A9">
        <w:rPr>
          <w:rFonts w:eastAsia="Times New Roman"/>
          <w:noProof/>
          <w:sz w:val="20"/>
          <w:szCs w:val="20"/>
          <w:vertAlign w:val="superscript"/>
          <w:lang w:eastAsia="en-GB"/>
        </w:rPr>
        <w:t>2</w:t>
      </w:r>
      <w:r w:rsidR="00804498">
        <w:rPr>
          <w:rFonts w:eastAsia="Times New Roman"/>
          <w:b/>
          <w:sz w:val="20"/>
          <w:szCs w:val="20"/>
          <w:lang w:eastAsia="en-GB"/>
        </w:rPr>
        <w:fldChar w:fldCharType="end"/>
      </w:r>
      <w:r w:rsidRPr="00F3611A">
        <w:rPr>
          <w:rFonts w:eastAsia="Times New Roman"/>
          <w:b/>
          <w:sz w:val="20"/>
          <w:szCs w:val="20"/>
          <w:lang w:eastAsia="en-GB"/>
        </w:rPr>
        <w:t> </w:t>
      </w:r>
    </w:p>
    <w:p w14:paraId="3EE539AD" w14:textId="77777777" w:rsidR="005520ED" w:rsidRPr="005520ED" w:rsidRDefault="005520ED" w:rsidP="00914C56">
      <w:pPr>
        <w:rPr>
          <w:rFonts w:eastAsia="Times New Roman"/>
          <w:b/>
          <w:sz w:val="20"/>
          <w:szCs w:val="20"/>
          <w:lang w:eastAsia="en-GB"/>
        </w:rPr>
      </w:pPr>
    </w:p>
    <w:tbl>
      <w:tblPr>
        <w:tblW w:w="14490" w:type="dxa"/>
        <w:tblLook w:val="04A0" w:firstRow="1" w:lastRow="0" w:firstColumn="1" w:lastColumn="0" w:noHBand="0" w:noVBand="1"/>
      </w:tblPr>
      <w:tblGrid>
        <w:gridCol w:w="587"/>
        <w:gridCol w:w="1815"/>
        <w:gridCol w:w="6718"/>
        <w:gridCol w:w="1217"/>
        <w:gridCol w:w="4153"/>
      </w:tblGrid>
      <w:tr w:rsidR="00D8098C" w:rsidRPr="00B853C6" w14:paraId="68BC94E2" w14:textId="1CEFEAFD" w:rsidTr="003D447D">
        <w:tc>
          <w:tcPr>
            <w:tcW w:w="587" w:type="dxa"/>
            <w:tcBorders>
              <w:top w:val="single" w:sz="4" w:space="0" w:color="auto"/>
              <w:bottom w:val="single" w:sz="6" w:space="0" w:color="7F7F7F"/>
            </w:tcBorders>
            <w:shd w:val="clear" w:color="auto" w:fill="auto"/>
          </w:tcPr>
          <w:p w14:paraId="00DEF8A5" w14:textId="77777777"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Item No.</w:t>
            </w:r>
          </w:p>
        </w:tc>
        <w:tc>
          <w:tcPr>
            <w:tcW w:w="1822" w:type="dxa"/>
            <w:tcBorders>
              <w:top w:val="single" w:sz="4" w:space="0" w:color="auto"/>
              <w:bottom w:val="single" w:sz="6" w:space="0" w:color="7F7F7F"/>
            </w:tcBorders>
            <w:shd w:val="clear" w:color="auto" w:fill="auto"/>
          </w:tcPr>
          <w:p w14:paraId="04F587D2" w14:textId="77777777"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Section</w:t>
            </w:r>
          </w:p>
        </w:tc>
        <w:tc>
          <w:tcPr>
            <w:tcW w:w="7041" w:type="dxa"/>
            <w:tcBorders>
              <w:top w:val="single" w:sz="4" w:space="0" w:color="auto"/>
              <w:bottom w:val="single" w:sz="6" w:space="0" w:color="7F7F7F"/>
            </w:tcBorders>
            <w:shd w:val="clear" w:color="auto" w:fill="auto"/>
          </w:tcPr>
          <w:p w14:paraId="5A682768" w14:textId="77777777"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 xml:space="preserve">Checklist item </w:t>
            </w:r>
          </w:p>
        </w:tc>
        <w:tc>
          <w:tcPr>
            <w:tcW w:w="720" w:type="dxa"/>
            <w:tcBorders>
              <w:top w:val="single" w:sz="4" w:space="0" w:color="auto"/>
              <w:bottom w:val="single" w:sz="6" w:space="0" w:color="7F7F7F"/>
            </w:tcBorders>
          </w:tcPr>
          <w:p w14:paraId="26D050FB" w14:textId="497E77E4" w:rsidR="00D8098C" w:rsidRPr="00F0337F" w:rsidRDefault="00EF4B94" w:rsidP="00426603">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Page No.</w:t>
            </w:r>
          </w:p>
        </w:tc>
        <w:tc>
          <w:tcPr>
            <w:tcW w:w="4320" w:type="dxa"/>
            <w:tcBorders>
              <w:top w:val="single" w:sz="4" w:space="0" w:color="auto"/>
              <w:bottom w:val="single" w:sz="6" w:space="0" w:color="7F7F7F"/>
            </w:tcBorders>
          </w:tcPr>
          <w:p w14:paraId="3B169EDD" w14:textId="040F4512" w:rsidR="00D8098C" w:rsidRDefault="00EF4B94" w:rsidP="00426603">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Relevant text from manuscript</w:t>
            </w:r>
          </w:p>
        </w:tc>
      </w:tr>
      <w:tr w:rsidR="00D8098C" w:rsidRPr="00B853C6" w14:paraId="6D71F361" w14:textId="15A67F44" w:rsidTr="003D447D">
        <w:tc>
          <w:tcPr>
            <w:tcW w:w="587" w:type="dxa"/>
            <w:tcBorders>
              <w:top w:val="single" w:sz="6" w:space="0" w:color="7F7F7F"/>
              <w:bottom w:val="single" w:sz="6" w:space="0" w:color="7F7F7F"/>
            </w:tcBorders>
            <w:shd w:val="clear" w:color="auto" w:fill="EEEEEE"/>
          </w:tcPr>
          <w:p w14:paraId="25A8835C"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w:t>
            </w:r>
          </w:p>
        </w:tc>
        <w:tc>
          <w:tcPr>
            <w:tcW w:w="1822" w:type="dxa"/>
            <w:tcBorders>
              <w:top w:val="single" w:sz="6" w:space="0" w:color="7F7F7F"/>
              <w:bottom w:val="single" w:sz="6" w:space="0" w:color="7F7F7F"/>
            </w:tcBorders>
            <w:shd w:val="clear" w:color="auto" w:fill="EEEEEE"/>
          </w:tcPr>
          <w:p w14:paraId="4CC4316B"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TITLE and ABSTRACT</w:t>
            </w:r>
          </w:p>
        </w:tc>
        <w:tc>
          <w:tcPr>
            <w:tcW w:w="7041" w:type="dxa"/>
            <w:tcBorders>
              <w:top w:val="single" w:sz="6" w:space="0" w:color="7F7F7F"/>
              <w:bottom w:val="single" w:sz="6" w:space="0" w:color="7F7F7F"/>
            </w:tcBorders>
            <w:shd w:val="clear" w:color="auto" w:fill="EEEEEE"/>
          </w:tcPr>
          <w:p w14:paraId="1DA8BD46" w14:textId="22BBD1AD" w:rsidR="00D8098C" w:rsidRPr="00F0337F" w:rsidRDefault="00D8098C" w:rsidP="006912BF">
            <w:pPr>
              <w:spacing w:beforeLines="40" w:before="96" w:afterLines="40" w:after="96" w:line="24" w:lineRule="atLeast"/>
              <w:rPr>
                <w:rFonts w:eastAsia="Cambria"/>
                <w:sz w:val="18"/>
                <w:szCs w:val="18"/>
                <w:lang w:val="en-GB" w:eastAsia="en-US"/>
              </w:rPr>
            </w:pPr>
            <w:r w:rsidRPr="00F0337F">
              <w:rPr>
                <w:rFonts w:eastAsia="Times New Roman"/>
                <w:sz w:val="18"/>
                <w:szCs w:val="18"/>
                <w:lang w:val="en-GB" w:eastAsia="en-GB"/>
              </w:rPr>
              <w:t>Indicate Mendelian randomization</w:t>
            </w:r>
            <w:r w:rsidR="000A4CE8">
              <w:rPr>
                <w:rFonts w:eastAsia="Times New Roman"/>
                <w:sz w:val="18"/>
                <w:szCs w:val="18"/>
                <w:lang w:val="en-GB" w:eastAsia="en-GB"/>
              </w:rPr>
              <w:t xml:space="preserve"> (MR)</w:t>
            </w:r>
            <w:r w:rsidRPr="00F0337F">
              <w:rPr>
                <w:rFonts w:eastAsia="Times New Roman"/>
                <w:sz w:val="18"/>
                <w:szCs w:val="18"/>
                <w:lang w:val="en-GB" w:eastAsia="en-GB"/>
              </w:rPr>
              <w:t xml:space="preserve"> as the study</w:t>
            </w:r>
            <w:r w:rsidR="006912BF">
              <w:rPr>
                <w:rFonts w:eastAsia="Times New Roman"/>
                <w:sz w:val="18"/>
                <w:szCs w:val="18"/>
                <w:lang w:val="en-GB" w:eastAsia="en-GB"/>
              </w:rPr>
              <w:t>’</w:t>
            </w:r>
            <w:r w:rsidRPr="00F0337F">
              <w:rPr>
                <w:rFonts w:eastAsia="Times New Roman"/>
                <w:sz w:val="18"/>
                <w:szCs w:val="18"/>
                <w:lang w:val="en-GB" w:eastAsia="en-GB"/>
              </w:rPr>
              <w:t>s design in the title and/or the abstract if that is a main purpose of the study</w:t>
            </w:r>
          </w:p>
        </w:tc>
        <w:tc>
          <w:tcPr>
            <w:tcW w:w="720" w:type="dxa"/>
            <w:tcBorders>
              <w:top w:val="single" w:sz="6" w:space="0" w:color="7F7F7F"/>
              <w:bottom w:val="single" w:sz="6" w:space="0" w:color="7F7F7F"/>
            </w:tcBorders>
            <w:shd w:val="clear" w:color="auto" w:fill="EEEEEE"/>
          </w:tcPr>
          <w:p w14:paraId="428F187D" w14:textId="40A3FEEC" w:rsidR="00D8098C" w:rsidRPr="00F0337F" w:rsidRDefault="00190DE0"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2</w:t>
            </w:r>
          </w:p>
        </w:tc>
        <w:tc>
          <w:tcPr>
            <w:tcW w:w="4320" w:type="dxa"/>
            <w:tcBorders>
              <w:top w:val="single" w:sz="6" w:space="0" w:color="7F7F7F"/>
              <w:bottom w:val="single" w:sz="6" w:space="0" w:color="7F7F7F"/>
            </w:tcBorders>
            <w:shd w:val="clear" w:color="auto" w:fill="EEEEEE"/>
          </w:tcPr>
          <w:p w14:paraId="2F6D1FAF" w14:textId="36BD87BA" w:rsidR="00D8098C" w:rsidRDefault="00190DE0" w:rsidP="00426603">
            <w:pPr>
              <w:spacing w:beforeLines="40" w:before="96" w:afterLines="40" w:after="96" w:line="24" w:lineRule="atLeast"/>
              <w:rPr>
                <w:rFonts w:eastAsia="Times New Roman"/>
                <w:sz w:val="18"/>
                <w:szCs w:val="18"/>
                <w:lang w:val="en-GB" w:eastAsia="en-GB"/>
              </w:rPr>
            </w:pPr>
            <w:proofErr w:type="spellStart"/>
            <w:r w:rsidRPr="00190DE0">
              <w:rPr>
                <w:rFonts w:eastAsia="Times New Roman"/>
                <w:sz w:val="18"/>
                <w:szCs w:val="18"/>
                <w:lang w:val="en-GB" w:eastAsia="en-GB"/>
              </w:rPr>
              <w:t>hdWGCNA</w:t>
            </w:r>
            <w:proofErr w:type="spellEnd"/>
            <w:r w:rsidRPr="00190DE0">
              <w:rPr>
                <w:rFonts w:eastAsia="Times New Roman"/>
                <w:sz w:val="18"/>
                <w:szCs w:val="18"/>
                <w:lang w:val="en-GB" w:eastAsia="en-GB"/>
              </w:rPr>
              <w:t xml:space="preserve"> analysis identified three molecular sets linked to inflammatory cells, with Mendelian randomization confirming a causal relationship between these sets and MN onset.</w:t>
            </w:r>
          </w:p>
        </w:tc>
      </w:tr>
      <w:tr w:rsidR="00D8098C" w:rsidRPr="00B853C6" w14:paraId="641E6A58" w14:textId="3A4EC1CE" w:rsidTr="003D447D">
        <w:tc>
          <w:tcPr>
            <w:tcW w:w="587" w:type="dxa"/>
            <w:tcBorders>
              <w:top w:val="single" w:sz="6" w:space="0" w:color="7F7F7F"/>
            </w:tcBorders>
            <w:shd w:val="clear" w:color="auto" w:fill="auto"/>
          </w:tcPr>
          <w:p w14:paraId="4792BEFB"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63B58F01"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INTRODUCTION</w:t>
            </w:r>
          </w:p>
        </w:tc>
        <w:tc>
          <w:tcPr>
            <w:tcW w:w="7041" w:type="dxa"/>
            <w:tcBorders>
              <w:top w:val="single" w:sz="6" w:space="0" w:color="7F7F7F"/>
            </w:tcBorders>
            <w:shd w:val="clear" w:color="auto" w:fill="auto"/>
          </w:tcPr>
          <w:p w14:paraId="473C01D0" w14:textId="77777777" w:rsidR="00D8098C" w:rsidRPr="00F0337F"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6681F500" w14:textId="77777777" w:rsidR="00D8098C" w:rsidRPr="00F0337F"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7A6DC6E9"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7DB622D8" w14:textId="3921B7E8" w:rsidTr="003D447D">
        <w:tc>
          <w:tcPr>
            <w:tcW w:w="587" w:type="dxa"/>
            <w:shd w:val="clear" w:color="auto" w:fill="EEEEEE"/>
          </w:tcPr>
          <w:p w14:paraId="7DE28D61"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2</w:t>
            </w:r>
          </w:p>
        </w:tc>
        <w:tc>
          <w:tcPr>
            <w:tcW w:w="1822" w:type="dxa"/>
            <w:shd w:val="clear" w:color="auto" w:fill="EEEEEE"/>
          </w:tcPr>
          <w:p w14:paraId="7756B327"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Background</w:t>
            </w:r>
          </w:p>
        </w:tc>
        <w:tc>
          <w:tcPr>
            <w:tcW w:w="7041" w:type="dxa"/>
            <w:shd w:val="clear" w:color="auto" w:fill="EEEEEE"/>
          </w:tcPr>
          <w:p w14:paraId="5423D52E" w14:textId="5998ED56"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 xml:space="preserve">Explain the scientific background and rationale for the reported study. What is the exposure? Is </w:t>
            </w:r>
            <w:r w:rsidR="00514462">
              <w:rPr>
                <w:rFonts w:eastAsia="Times New Roman"/>
                <w:sz w:val="18"/>
                <w:szCs w:val="18"/>
                <w:lang w:val="en-GB" w:eastAsia="en-GB"/>
              </w:rPr>
              <w:t xml:space="preserve">a </w:t>
            </w:r>
            <w:r>
              <w:rPr>
                <w:rFonts w:eastAsia="Times New Roman"/>
                <w:sz w:val="18"/>
                <w:szCs w:val="18"/>
                <w:lang w:val="en-GB" w:eastAsia="en-GB"/>
              </w:rPr>
              <w:t>potential causal relationship</w:t>
            </w:r>
            <w:r w:rsidRPr="00F0337F">
              <w:rPr>
                <w:rFonts w:eastAsia="Times New Roman"/>
                <w:sz w:val="18"/>
                <w:szCs w:val="18"/>
                <w:lang w:val="en-GB" w:eastAsia="en-GB"/>
              </w:rPr>
              <w:t xml:space="preserve"> between exposure and outcome plausible? Justify why MR is a helpful method to address the study question</w:t>
            </w:r>
          </w:p>
        </w:tc>
        <w:tc>
          <w:tcPr>
            <w:tcW w:w="720" w:type="dxa"/>
            <w:shd w:val="clear" w:color="auto" w:fill="EEEEEE"/>
          </w:tcPr>
          <w:p w14:paraId="460FB29C" w14:textId="67BE5AC1" w:rsidR="00D8098C" w:rsidRPr="00F0337F" w:rsidRDefault="00190DE0"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4</w:t>
            </w:r>
          </w:p>
        </w:tc>
        <w:tc>
          <w:tcPr>
            <w:tcW w:w="4320" w:type="dxa"/>
            <w:shd w:val="clear" w:color="auto" w:fill="EEEEEE"/>
          </w:tcPr>
          <w:p w14:paraId="5D990A22" w14:textId="63E1C7E4" w:rsidR="00D8098C" w:rsidRDefault="00190DE0" w:rsidP="00426603">
            <w:pPr>
              <w:spacing w:beforeLines="40" w:before="96" w:afterLines="40" w:after="96" w:line="24" w:lineRule="atLeast"/>
              <w:rPr>
                <w:rFonts w:eastAsia="Times New Roman"/>
                <w:sz w:val="18"/>
                <w:szCs w:val="18"/>
                <w:lang w:val="en-GB" w:eastAsia="en-GB"/>
              </w:rPr>
            </w:pPr>
            <w:r w:rsidRPr="00190DE0">
              <w:rPr>
                <w:rFonts w:eastAsia="Times New Roman"/>
                <w:sz w:val="18"/>
                <w:szCs w:val="18"/>
                <w:lang w:val="en-GB" w:eastAsia="en-GB"/>
              </w:rPr>
              <w:t>High-dimensional weighted gene co-expression network analysis (</w:t>
            </w:r>
            <w:proofErr w:type="spellStart"/>
            <w:r w:rsidRPr="00190DE0">
              <w:rPr>
                <w:rFonts w:eastAsia="Times New Roman"/>
                <w:sz w:val="18"/>
                <w:szCs w:val="18"/>
                <w:lang w:val="en-GB" w:eastAsia="en-GB"/>
              </w:rPr>
              <w:t>hdWGCNA</w:t>
            </w:r>
            <w:proofErr w:type="spellEnd"/>
            <w:r w:rsidRPr="00190DE0">
              <w:rPr>
                <w:rFonts w:eastAsia="Times New Roman"/>
                <w:sz w:val="18"/>
                <w:szCs w:val="18"/>
                <w:lang w:val="en-GB" w:eastAsia="en-GB"/>
              </w:rPr>
              <w:t>) identified essential genes involved in the evolution of these cells, while MR established a link between SLC1A5 and MN pathogenesis.</w:t>
            </w:r>
          </w:p>
        </w:tc>
      </w:tr>
      <w:tr w:rsidR="00D8098C" w:rsidRPr="00B853C6" w14:paraId="7907A3D3" w14:textId="5AB948A7" w:rsidTr="003D447D">
        <w:tc>
          <w:tcPr>
            <w:tcW w:w="587" w:type="dxa"/>
            <w:tcBorders>
              <w:bottom w:val="single" w:sz="6" w:space="0" w:color="7F7F7F"/>
            </w:tcBorders>
            <w:shd w:val="clear" w:color="auto" w:fill="auto"/>
          </w:tcPr>
          <w:p w14:paraId="4F63B034"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3</w:t>
            </w:r>
          </w:p>
        </w:tc>
        <w:tc>
          <w:tcPr>
            <w:tcW w:w="1822" w:type="dxa"/>
            <w:tcBorders>
              <w:bottom w:val="single" w:sz="6" w:space="0" w:color="7F7F7F"/>
            </w:tcBorders>
            <w:shd w:val="clear" w:color="auto" w:fill="auto"/>
          </w:tcPr>
          <w:p w14:paraId="3E6B9EEC"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Objectives</w:t>
            </w:r>
          </w:p>
        </w:tc>
        <w:tc>
          <w:tcPr>
            <w:tcW w:w="7041" w:type="dxa"/>
            <w:tcBorders>
              <w:bottom w:val="single" w:sz="6" w:space="0" w:color="7F7F7F"/>
            </w:tcBorders>
            <w:shd w:val="clear" w:color="auto" w:fill="auto"/>
          </w:tcPr>
          <w:p w14:paraId="41BC8A04"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State specific objectives clearly, including pre-specified causal hypotheses (if any). State that MR is a method that, under specific assumptions, intends to estimate causal effects</w:t>
            </w:r>
          </w:p>
        </w:tc>
        <w:tc>
          <w:tcPr>
            <w:tcW w:w="720" w:type="dxa"/>
            <w:tcBorders>
              <w:bottom w:val="single" w:sz="6" w:space="0" w:color="7F7F7F"/>
            </w:tcBorders>
          </w:tcPr>
          <w:p w14:paraId="2294F6C5" w14:textId="2131BFF4" w:rsidR="00D8098C" w:rsidRPr="00A1236D" w:rsidRDefault="00190DE0"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4</w:t>
            </w:r>
          </w:p>
        </w:tc>
        <w:tc>
          <w:tcPr>
            <w:tcW w:w="4320" w:type="dxa"/>
            <w:tcBorders>
              <w:bottom w:val="single" w:sz="6" w:space="0" w:color="7F7F7F"/>
            </w:tcBorders>
          </w:tcPr>
          <w:p w14:paraId="11250836" w14:textId="3DF9D6CE" w:rsidR="00D8098C" w:rsidRDefault="00190DE0" w:rsidP="00426603">
            <w:pPr>
              <w:spacing w:beforeLines="40" w:before="96" w:afterLines="40" w:after="96" w:line="24" w:lineRule="atLeast"/>
              <w:rPr>
                <w:rFonts w:eastAsia="Times New Roman"/>
                <w:sz w:val="18"/>
                <w:szCs w:val="18"/>
                <w:lang w:val="en-GB" w:eastAsia="en-GB"/>
              </w:rPr>
            </w:pPr>
            <w:r w:rsidRPr="00190DE0">
              <w:rPr>
                <w:rFonts w:eastAsia="Times New Roman"/>
                <w:sz w:val="18"/>
                <w:szCs w:val="18"/>
                <w:lang w:val="en-GB" w:eastAsia="en-GB"/>
              </w:rPr>
              <w:t>High-dimensional weighted gene co-expression network analysis (</w:t>
            </w:r>
            <w:proofErr w:type="spellStart"/>
            <w:r w:rsidRPr="00190DE0">
              <w:rPr>
                <w:rFonts w:eastAsia="Times New Roman"/>
                <w:sz w:val="18"/>
                <w:szCs w:val="18"/>
                <w:lang w:val="en-GB" w:eastAsia="en-GB"/>
              </w:rPr>
              <w:t>hdWGCNA</w:t>
            </w:r>
            <w:proofErr w:type="spellEnd"/>
            <w:r w:rsidRPr="00190DE0">
              <w:rPr>
                <w:rFonts w:eastAsia="Times New Roman"/>
                <w:sz w:val="18"/>
                <w:szCs w:val="18"/>
                <w:lang w:val="en-GB" w:eastAsia="en-GB"/>
              </w:rPr>
              <w:t>) identified essential genes involved in the evolution of these cells, while MR established a link between SLC1A5 and MN pathogenesis.</w:t>
            </w:r>
          </w:p>
        </w:tc>
      </w:tr>
      <w:tr w:rsidR="00D8098C" w:rsidRPr="00B853C6" w14:paraId="59599383" w14:textId="2880B554" w:rsidTr="003D447D">
        <w:tc>
          <w:tcPr>
            <w:tcW w:w="587" w:type="dxa"/>
            <w:tcBorders>
              <w:top w:val="single" w:sz="6" w:space="0" w:color="7F7F7F"/>
            </w:tcBorders>
            <w:shd w:val="clear" w:color="auto" w:fill="EEEEEE"/>
          </w:tcPr>
          <w:p w14:paraId="3524D6D4"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EEEEEE"/>
          </w:tcPr>
          <w:p w14:paraId="6152628C"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METHODS</w:t>
            </w:r>
          </w:p>
        </w:tc>
        <w:tc>
          <w:tcPr>
            <w:tcW w:w="7041" w:type="dxa"/>
            <w:tcBorders>
              <w:top w:val="single" w:sz="6" w:space="0" w:color="7F7F7F"/>
            </w:tcBorders>
            <w:shd w:val="clear" w:color="auto" w:fill="EEEEEE"/>
          </w:tcPr>
          <w:p w14:paraId="309B856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shd w:val="clear" w:color="auto" w:fill="EEEEEE"/>
          </w:tcPr>
          <w:p w14:paraId="2FFEF450"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shd w:val="clear" w:color="auto" w:fill="EEEEEE"/>
          </w:tcPr>
          <w:p w14:paraId="6CB9315A"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6440155E" w14:textId="16610A1F" w:rsidTr="003D447D">
        <w:tc>
          <w:tcPr>
            <w:tcW w:w="587" w:type="dxa"/>
            <w:shd w:val="clear" w:color="auto" w:fill="auto"/>
          </w:tcPr>
          <w:p w14:paraId="5C7CF349"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4</w:t>
            </w:r>
          </w:p>
        </w:tc>
        <w:tc>
          <w:tcPr>
            <w:tcW w:w="1822" w:type="dxa"/>
            <w:shd w:val="clear" w:color="auto" w:fill="auto"/>
          </w:tcPr>
          <w:p w14:paraId="408E2A89"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Study design and data sources</w:t>
            </w:r>
          </w:p>
        </w:tc>
        <w:tc>
          <w:tcPr>
            <w:tcW w:w="7041" w:type="dxa"/>
            <w:shd w:val="clear" w:color="auto" w:fill="auto"/>
          </w:tcPr>
          <w:p w14:paraId="29029CA4"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Present key elements of the study design early in the article. Consider including a table listing sources of data for all phases of the study. For each data source contributing to the analysis, describe the following: </w:t>
            </w:r>
          </w:p>
        </w:tc>
        <w:tc>
          <w:tcPr>
            <w:tcW w:w="720" w:type="dxa"/>
          </w:tcPr>
          <w:p w14:paraId="0E181C75"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23CE0AC6"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47D5AE21" w14:textId="3CA8D4AF" w:rsidTr="003D447D">
        <w:tc>
          <w:tcPr>
            <w:tcW w:w="587" w:type="dxa"/>
            <w:shd w:val="clear" w:color="auto" w:fill="EEEEEE"/>
          </w:tcPr>
          <w:p w14:paraId="0980B688"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9E72ACB"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14:paraId="246167BE"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shd w:val="clear" w:color="auto" w:fill="FFFFFF"/>
                <w:lang w:val="en-GB" w:eastAsia="en-GB"/>
              </w:rPr>
              <w:t xml:space="preserve">Setting: </w:t>
            </w:r>
            <w:r w:rsidRPr="00A1236D">
              <w:rPr>
                <w:rFonts w:eastAsia="Times New Roman"/>
                <w:sz w:val="18"/>
                <w:szCs w:val="18"/>
                <w:lang w:val="en-GB" w:eastAsia="en-GB"/>
              </w:rPr>
              <w:t xml:space="preserve">Describe the study design and the underlying population, if possible. </w:t>
            </w:r>
            <w:r w:rsidRPr="00A1236D">
              <w:rPr>
                <w:rFonts w:eastAsia="Times New Roman"/>
                <w:sz w:val="18"/>
                <w:szCs w:val="18"/>
                <w:shd w:val="clear" w:color="auto" w:fill="FFFFFF"/>
                <w:lang w:val="en-GB" w:eastAsia="en-GB"/>
              </w:rPr>
              <w:t xml:space="preserve">Describe the setting, locations, and relevant dates, including periods </w:t>
            </w:r>
            <w:r w:rsidRPr="00A1236D">
              <w:rPr>
                <w:rFonts w:eastAsia="Times New Roman"/>
                <w:color w:val="000000"/>
                <w:sz w:val="18"/>
                <w:szCs w:val="18"/>
                <w:shd w:val="clear" w:color="auto" w:fill="FFFFFF"/>
                <w:lang w:val="en-GB" w:eastAsia="en-GB"/>
              </w:rPr>
              <w:t>of recruitment, exposure, follow-up, and data collection, when available.</w:t>
            </w:r>
          </w:p>
        </w:tc>
        <w:tc>
          <w:tcPr>
            <w:tcW w:w="720" w:type="dxa"/>
            <w:shd w:val="clear" w:color="auto" w:fill="EEEEEE"/>
          </w:tcPr>
          <w:p w14:paraId="048ED5CF" w14:textId="6FE95B05" w:rsidR="00D8098C" w:rsidRPr="00A1236D" w:rsidRDefault="00190DE0" w:rsidP="00426603">
            <w:pPr>
              <w:spacing w:beforeLines="40" w:before="96" w:afterLines="40" w:after="96" w:line="24" w:lineRule="atLeast"/>
              <w:rPr>
                <w:rFonts w:eastAsia="Times New Roman"/>
                <w:sz w:val="18"/>
                <w:szCs w:val="18"/>
                <w:shd w:val="clear" w:color="auto" w:fill="FFFFFF"/>
                <w:lang w:val="en-GB" w:eastAsia="zh-CN"/>
              </w:rPr>
            </w:pPr>
            <w:r>
              <w:rPr>
                <w:rFonts w:eastAsia="Times New Roman" w:hint="eastAsia"/>
                <w:sz w:val="18"/>
                <w:szCs w:val="18"/>
                <w:shd w:val="clear" w:color="auto" w:fill="FFFFFF"/>
                <w:lang w:val="en-GB" w:eastAsia="zh-CN"/>
              </w:rPr>
              <w:t>6</w:t>
            </w:r>
          </w:p>
        </w:tc>
        <w:tc>
          <w:tcPr>
            <w:tcW w:w="4320" w:type="dxa"/>
            <w:shd w:val="clear" w:color="auto" w:fill="EEEEEE"/>
          </w:tcPr>
          <w:p w14:paraId="33F4171D" w14:textId="7AC027B8" w:rsidR="00D8098C" w:rsidRDefault="00190DE0" w:rsidP="00426603">
            <w:pPr>
              <w:spacing w:beforeLines="40" w:before="96" w:afterLines="40" w:after="96" w:line="24" w:lineRule="atLeast"/>
              <w:rPr>
                <w:rFonts w:eastAsia="Times New Roman"/>
                <w:sz w:val="18"/>
                <w:szCs w:val="18"/>
                <w:shd w:val="clear" w:color="auto" w:fill="FFFFFF"/>
                <w:lang w:val="en-GB" w:eastAsia="zh-CN"/>
              </w:rPr>
            </w:pPr>
            <w:r w:rsidRPr="00190DE0">
              <w:rPr>
                <w:rFonts w:eastAsia="Times New Roman"/>
                <w:sz w:val="18"/>
                <w:szCs w:val="18"/>
                <w:shd w:val="clear" w:color="auto" w:fill="FFFFFF"/>
                <w:lang w:val="en-GB" w:eastAsia="en-GB"/>
              </w:rPr>
              <w:t xml:space="preserve">To investigate the causal relationship between module gene expression and MN, we conducted a bidirectional Mendelian Randomization (MR) analysis using the </w:t>
            </w:r>
            <w:proofErr w:type="spellStart"/>
            <w:r w:rsidRPr="00190DE0">
              <w:rPr>
                <w:rFonts w:eastAsia="Times New Roman"/>
                <w:sz w:val="18"/>
                <w:szCs w:val="18"/>
                <w:shd w:val="clear" w:color="auto" w:fill="FFFFFF"/>
                <w:lang w:val="en-GB" w:eastAsia="en-GB"/>
              </w:rPr>
              <w:t>TwoSampleMR</w:t>
            </w:r>
            <w:proofErr w:type="spellEnd"/>
            <w:r w:rsidRPr="00190DE0">
              <w:rPr>
                <w:rFonts w:eastAsia="Times New Roman"/>
                <w:sz w:val="18"/>
                <w:szCs w:val="18"/>
                <w:shd w:val="clear" w:color="auto" w:fill="FFFFFF"/>
                <w:lang w:val="en-GB" w:eastAsia="en-GB"/>
              </w:rPr>
              <w:t xml:space="preserve"> package (version 0.5.7). </w:t>
            </w:r>
            <w:proofErr w:type="spellStart"/>
            <w:r w:rsidRPr="00190DE0">
              <w:rPr>
                <w:rFonts w:eastAsia="Times New Roman"/>
                <w:sz w:val="18"/>
                <w:szCs w:val="18"/>
                <w:shd w:val="clear" w:color="auto" w:fill="FFFFFF"/>
                <w:lang w:val="en-GB" w:eastAsia="en-GB"/>
              </w:rPr>
              <w:t>eQTL</w:t>
            </w:r>
            <w:proofErr w:type="spellEnd"/>
            <w:r w:rsidRPr="00190DE0">
              <w:rPr>
                <w:rFonts w:eastAsia="Times New Roman"/>
                <w:sz w:val="18"/>
                <w:szCs w:val="18"/>
                <w:shd w:val="clear" w:color="auto" w:fill="FFFFFF"/>
                <w:lang w:val="en-GB" w:eastAsia="en-GB"/>
              </w:rPr>
              <w:t xml:space="preserve"> data were obtained from the IEU </w:t>
            </w:r>
            <w:proofErr w:type="spellStart"/>
            <w:r w:rsidRPr="00190DE0">
              <w:rPr>
                <w:rFonts w:eastAsia="Times New Roman"/>
                <w:sz w:val="18"/>
                <w:szCs w:val="18"/>
                <w:shd w:val="clear" w:color="auto" w:fill="FFFFFF"/>
                <w:lang w:val="en-GB" w:eastAsia="en-GB"/>
              </w:rPr>
              <w:t>OpenGWAS</w:t>
            </w:r>
            <w:proofErr w:type="spellEnd"/>
            <w:r w:rsidRPr="00190DE0">
              <w:rPr>
                <w:rFonts w:eastAsia="Times New Roman"/>
                <w:sz w:val="18"/>
                <w:szCs w:val="18"/>
                <w:shd w:val="clear" w:color="auto" w:fill="FFFFFF"/>
                <w:lang w:val="en-GB" w:eastAsia="en-GB"/>
              </w:rPr>
              <w:t xml:space="preserve"> database and </w:t>
            </w:r>
            <w:proofErr w:type="spellStart"/>
            <w:r w:rsidRPr="00190DE0">
              <w:rPr>
                <w:rFonts w:eastAsia="Times New Roman"/>
                <w:sz w:val="18"/>
                <w:szCs w:val="18"/>
                <w:shd w:val="clear" w:color="auto" w:fill="FFFFFF"/>
                <w:lang w:val="en-GB" w:eastAsia="en-GB"/>
              </w:rPr>
              <w:t>NephQTL</w:t>
            </w:r>
            <w:proofErr w:type="spellEnd"/>
            <w:r w:rsidR="00115E18">
              <w:rPr>
                <w:rFonts w:eastAsia="Times New Roman" w:hint="eastAsia"/>
                <w:sz w:val="18"/>
                <w:szCs w:val="18"/>
                <w:shd w:val="clear" w:color="auto" w:fill="FFFFFF"/>
                <w:lang w:val="en-GB" w:eastAsia="zh-CN"/>
              </w:rPr>
              <w:t xml:space="preserve">. </w:t>
            </w:r>
            <w:r w:rsidR="00115E18" w:rsidRPr="00115E18">
              <w:rPr>
                <w:rFonts w:eastAsia="Times New Roman"/>
                <w:sz w:val="18"/>
                <w:szCs w:val="18"/>
                <w:shd w:val="clear" w:color="auto" w:fill="FFFFFF"/>
                <w:lang w:val="en-GB" w:eastAsia="zh-CN"/>
              </w:rPr>
              <w:t xml:space="preserve">Outcome data for MN were obtained from the IEU </w:t>
            </w:r>
            <w:proofErr w:type="spellStart"/>
            <w:r w:rsidR="00115E18" w:rsidRPr="00115E18">
              <w:rPr>
                <w:rFonts w:eastAsia="Times New Roman"/>
                <w:sz w:val="18"/>
                <w:szCs w:val="18"/>
                <w:shd w:val="clear" w:color="auto" w:fill="FFFFFF"/>
                <w:lang w:val="en-GB" w:eastAsia="zh-CN"/>
              </w:rPr>
              <w:t>OpenGWAS</w:t>
            </w:r>
            <w:proofErr w:type="spellEnd"/>
            <w:r w:rsidR="00115E18" w:rsidRPr="00115E18">
              <w:rPr>
                <w:rFonts w:eastAsia="Times New Roman"/>
                <w:sz w:val="18"/>
                <w:szCs w:val="18"/>
                <w:shd w:val="clear" w:color="auto" w:fill="FFFFFF"/>
                <w:lang w:val="en-GB" w:eastAsia="zh-CN"/>
              </w:rPr>
              <w:t xml:space="preserve"> database, incorporating datasets from diverse populations, including ebi-a-GCST010005 (2150 cases and 5829 controls of European ancestry) and ebi-a-GCST010004 (1632 cases and 3209 controls of East Asian ancestry) for discovery and validation.</w:t>
            </w:r>
          </w:p>
        </w:tc>
      </w:tr>
      <w:tr w:rsidR="00D8098C" w:rsidRPr="00B853C6" w14:paraId="376A6F82" w14:textId="43693FDC" w:rsidTr="003D447D">
        <w:tc>
          <w:tcPr>
            <w:tcW w:w="587" w:type="dxa"/>
            <w:shd w:val="clear" w:color="auto" w:fill="auto"/>
          </w:tcPr>
          <w:p w14:paraId="6B85F41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0CF2EB5C"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auto"/>
          </w:tcPr>
          <w:p w14:paraId="5E3BCE69" w14:textId="77777777" w:rsidR="00D8098C" w:rsidRPr="00A1236D" w:rsidRDefault="00D8098C" w:rsidP="00426603">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 xml:space="preserve">Participants: Give the eligibility criteria, and the sources and methods of selection of participants. </w:t>
            </w:r>
            <w:r w:rsidRPr="00A1236D">
              <w:rPr>
                <w:rFonts w:eastAsia="Times New Roman"/>
                <w:color w:val="000000"/>
                <w:sz w:val="18"/>
                <w:szCs w:val="18"/>
              </w:rPr>
              <w:t>Report the sample size, and whether any power or sample size calculations were carried out prior to the main analysis</w:t>
            </w:r>
            <w:r w:rsidRPr="00A1236D">
              <w:rPr>
                <w:rFonts w:eastAsia="Times New Roman"/>
                <w:sz w:val="18"/>
                <w:szCs w:val="18"/>
                <w:lang w:val="en-GB" w:eastAsia="en-GB"/>
              </w:rPr>
              <w:t> </w:t>
            </w:r>
          </w:p>
        </w:tc>
        <w:tc>
          <w:tcPr>
            <w:tcW w:w="720" w:type="dxa"/>
          </w:tcPr>
          <w:p w14:paraId="29ACC32C" w14:textId="38C0AC97" w:rsidR="00D8098C" w:rsidRPr="00A1236D" w:rsidRDefault="00115E18" w:rsidP="00426603">
            <w:pPr>
              <w:spacing w:beforeLines="40" w:before="96" w:afterLines="40" w:after="96" w:line="24" w:lineRule="atLeast"/>
              <w:textAlignment w:val="baseline"/>
              <w:rPr>
                <w:rFonts w:eastAsia="Times New Roman"/>
                <w:sz w:val="18"/>
                <w:szCs w:val="18"/>
                <w:shd w:val="clear" w:color="auto" w:fill="FFFFFF"/>
                <w:lang w:val="en-GB" w:eastAsia="zh-CN"/>
              </w:rPr>
            </w:pPr>
            <w:r>
              <w:rPr>
                <w:rFonts w:eastAsia="Times New Roman" w:hint="eastAsia"/>
                <w:sz w:val="18"/>
                <w:szCs w:val="18"/>
                <w:shd w:val="clear" w:color="auto" w:fill="FFFFFF"/>
                <w:lang w:val="en-GB" w:eastAsia="zh-CN"/>
              </w:rPr>
              <w:t>6</w:t>
            </w:r>
          </w:p>
        </w:tc>
        <w:tc>
          <w:tcPr>
            <w:tcW w:w="4320" w:type="dxa"/>
          </w:tcPr>
          <w:p w14:paraId="37C3B4C3" w14:textId="16662660" w:rsidR="00D8098C" w:rsidRDefault="00115E18" w:rsidP="00426603">
            <w:pPr>
              <w:spacing w:beforeLines="40" w:before="96" w:afterLines="40" w:after="96" w:line="24" w:lineRule="atLeast"/>
              <w:textAlignment w:val="baseline"/>
              <w:rPr>
                <w:rFonts w:eastAsia="Times New Roman"/>
                <w:sz w:val="18"/>
                <w:szCs w:val="18"/>
                <w:shd w:val="clear" w:color="auto" w:fill="FFFFFF"/>
                <w:lang w:val="en-GB" w:eastAsia="en-GB"/>
              </w:rPr>
            </w:pPr>
            <w:r w:rsidRPr="00115E18">
              <w:rPr>
                <w:rFonts w:eastAsia="Times New Roman"/>
                <w:sz w:val="18"/>
                <w:szCs w:val="18"/>
                <w:shd w:val="clear" w:color="auto" w:fill="FFFFFF"/>
                <w:lang w:val="en-GB" w:eastAsia="zh-CN"/>
              </w:rPr>
              <w:t xml:space="preserve">Outcome data for MN were obtained from the IEU </w:t>
            </w:r>
            <w:proofErr w:type="spellStart"/>
            <w:r w:rsidRPr="00115E18">
              <w:rPr>
                <w:rFonts w:eastAsia="Times New Roman"/>
                <w:sz w:val="18"/>
                <w:szCs w:val="18"/>
                <w:shd w:val="clear" w:color="auto" w:fill="FFFFFF"/>
                <w:lang w:val="en-GB" w:eastAsia="zh-CN"/>
              </w:rPr>
              <w:t>OpenGWAS</w:t>
            </w:r>
            <w:proofErr w:type="spellEnd"/>
            <w:r w:rsidRPr="00115E18">
              <w:rPr>
                <w:rFonts w:eastAsia="Times New Roman"/>
                <w:sz w:val="18"/>
                <w:szCs w:val="18"/>
                <w:shd w:val="clear" w:color="auto" w:fill="FFFFFF"/>
                <w:lang w:val="en-GB" w:eastAsia="zh-CN"/>
              </w:rPr>
              <w:t xml:space="preserve"> database, incorporating datasets from diverse populations, including ebi-</w:t>
            </w:r>
            <w:r w:rsidRPr="00115E18">
              <w:rPr>
                <w:rFonts w:eastAsia="Times New Roman"/>
                <w:sz w:val="18"/>
                <w:szCs w:val="18"/>
                <w:shd w:val="clear" w:color="auto" w:fill="FFFFFF"/>
                <w:lang w:val="en-GB" w:eastAsia="zh-CN"/>
              </w:rPr>
              <w:lastRenderedPageBreak/>
              <w:t>a-GCST010005 (2150 cases and 5829 controls of European ancestry) and ebi-a-GCST010004 (1632 cases and 3209 controls of East Asian ancestry) for discovery and validation.</w:t>
            </w:r>
          </w:p>
        </w:tc>
      </w:tr>
      <w:tr w:rsidR="00D8098C" w:rsidRPr="00B853C6" w14:paraId="04B065C7" w14:textId="72F11B68" w:rsidTr="003D447D">
        <w:tc>
          <w:tcPr>
            <w:tcW w:w="587" w:type="dxa"/>
            <w:shd w:val="clear" w:color="auto" w:fill="EEEEEE"/>
          </w:tcPr>
          <w:p w14:paraId="09448E2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60DD299"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14:paraId="7B54F10C"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measurement, quality control and selection of genetic variants</w:t>
            </w:r>
          </w:p>
        </w:tc>
        <w:tc>
          <w:tcPr>
            <w:tcW w:w="720" w:type="dxa"/>
            <w:shd w:val="clear" w:color="auto" w:fill="EEEEEE"/>
          </w:tcPr>
          <w:p w14:paraId="2CDB28F5" w14:textId="3EAFD9ED" w:rsidR="00D8098C" w:rsidRPr="00A1236D" w:rsidRDefault="00115E18"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6</w:t>
            </w:r>
          </w:p>
        </w:tc>
        <w:tc>
          <w:tcPr>
            <w:tcW w:w="4320" w:type="dxa"/>
            <w:shd w:val="clear" w:color="auto" w:fill="EEEEEE"/>
          </w:tcPr>
          <w:p w14:paraId="26B556E6" w14:textId="5150CA8B" w:rsidR="00D8098C" w:rsidRDefault="00115E18" w:rsidP="00426603">
            <w:pPr>
              <w:spacing w:beforeLines="40" w:before="96" w:afterLines="40" w:after="96" w:line="24" w:lineRule="atLeast"/>
              <w:rPr>
                <w:rFonts w:eastAsia="Times New Roman"/>
                <w:sz w:val="18"/>
                <w:szCs w:val="18"/>
                <w:lang w:val="en-GB" w:eastAsia="en-GB"/>
              </w:rPr>
            </w:pPr>
            <w:r w:rsidRPr="00115E18">
              <w:rPr>
                <w:rFonts w:eastAsia="Times New Roman"/>
                <w:sz w:val="18"/>
                <w:szCs w:val="18"/>
                <w:lang w:val="en-GB" w:eastAsia="en-GB"/>
              </w:rPr>
              <w:t>We performed clumping to select suitable instrumental variables, excluding SNPs in linkage disequilibrium (r²&gt;0.001) or lacking genome-wide significance (p</w:t>
            </w:r>
            <w:r w:rsidRPr="00115E18">
              <w:rPr>
                <w:rFonts w:eastAsia="Times New Roman" w:hint="eastAsia"/>
                <w:sz w:val="18"/>
                <w:szCs w:val="18"/>
                <w:lang w:val="en-GB" w:eastAsia="en-GB"/>
              </w:rPr>
              <w:t>≥</w:t>
            </w:r>
            <w:r w:rsidRPr="00115E18">
              <w:rPr>
                <w:rFonts w:eastAsia="Times New Roman"/>
                <w:sz w:val="18"/>
                <w:szCs w:val="18"/>
                <w:lang w:val="en-GB" w:eastAsia="en-GB"/>
              </w:rPr>
              <w:t>5×10</w:t>
            </w:r>
            <w:r w:rsidRPr="00115E18">
              <w:rPr>
                <w:rFonts w:ascii="Cambria Math" w:eastAsia="Times New Roman" w:hAnsi="Cambria Math" w:cs="Cambria Math"/>
                <w:sz w:val="18"/>
                <w:szCs w:val="18"/>
                <w:lang w:val="en-GB" w:eastAsia="en-GB"/>
              </w:rPr>
              <w:t>⁻</w:t>
            </w:r>
            <w:r w:rsidRPr="00115E18">
              <w:rPr>
                <w:rFonts w:eastAsia="Times New Roman"/>
                <w:sz w:val="18"/>
                <w:szCs w:val="18"/>
                <w:lang w:val="en-GB" w:eastAsia="en-GB"/>
              </w:rPr>
              <w:t xml:space="preserve">⁸). Instrument strength was assessed using the </w:t>
            </w:r>
            <w:proofErr w:type="spellStart"/>
            <w:r w:rsidRPr="00115E18">
              <w:rPr>
                <w:rFonts w:eastAsia="Times New Roman"/>
                <w:sz w:val="18"/>
                <w:szCs w:val="18"/>
                <w:lang w:val="en-GB" w:eastAsia="en-GB"/>
              </w:rPr>
              <w:t>Fstatistic</w:t>
            </w:r>
            <w:proofErr w:type="spellEnd"/>
            <w:r w:rsidRPr="00115E18">
              <w:rPr>
                <w:rFonts w:eastAsia="Times New Roman"/>
                <w:sz w:val="18"/>
                <w:szCs w:val="18"/>
                <w:lang w:val="en-GB" w:eastAsia="en-GB"/>
              </w:rPr>
              <w:t>, with F&gt;10 indicating robustness.</w:t>
            </w:r>
          </w:p>
        </w:tc>
      </w:tr>
      <w:tr w:rsidR="00D8098C" w:rsidRPr="00B853C6" w14:paraId="215DDE8E" w14:textId="5C8C984B" w:rsidTr="003D447D">
        <w:tc>
          <w:tcPr>
            <w:tcW w:w="587" w:type="dxa"/>
            <w:shd w:val="clear" w:color="auto" w:fill="auto"/>
          </w:tcPr>
          <w:p w14:paraId="7E3D460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0FB55ADC"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auto"/>
          </w:tcPr>
          <w:p w14:paraId="3B6B6065" w14:textId="77777777" w:rsidR="00D8098C" w:rsidRPr="00A1236D" w:rsidRDefault="00D8098C" w:rsidP="00426603">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For each exposure, outcome, and other relevant variables, describe methods of assessment and diagnostic criteria for diseases</w:t>
            </w:r>
          </w:p>
        </w:tc>
        <w:tc>
          <w:tcPr>
            <w:tcW w:w="720" w:type="dxa"/>
          </w:tcPr>
          <w:p w14:paraId="37FB656C" w14:textId="091505BA" w:rsidR="00D8098C" w:rsidRPr="00A1236D" w:rsidRDefault="00115E18" w:rsidP="00426603">
            <w:pPr>
              <w:spacing w:beforeLines="40" w:before="96" w:afterLines="40" w:after="96" w:line="24" w:lineRule="atLeast"/>
              <w:textAlignment w:val="baseline"/>
              <w:rPr>
                <w:rFonts w:eastAsia="Times New Roman"/>
                <w:sz w:val="18"/>
                <w:szCs w:val="18"/>
                <w:shd w:val="clear" w:color="auto" w:fill="FFFFFF"/>
                <w:lang w:val="en-GB" w:eastAsia="zh-CN"/>
              </w:rPr>
            </w:pPr>
            <w:r>
              <w:rPr>
                <w:rFonts w:eastAsia="Times New Roman" w:hint="eastAsia"/>
                <w:sz w:val="18"/>
                <w:szCs w:val="18"/>
                <w:shd w:val="clear" w:color="auto" w:fill="FFFFFF"/>
                <w:lang w:val="en-GB" w:eastAsia="zh-CN"/>
              </w:rPr>
              <w:t>NA</w:t>
            </w:r>
          </w:p>
        </w:tc>
        <w:tc>
          <w:tcPr>
            <w:tcW w:w="4320" w:type="dxa"/>
          </w:tcPr>
          <w:p w14:paraId="18BB4B57" w14:textId="0C0CCBB8" w:rsidR="00D8098C" w:rsidRDefault="00115E18" w:rsidP="00426603">
            <w:pPr>
              <w:spacing w:beforeLines="40" w:before="96" w:afterLines="40" w:after="96" w:line="24" w:lineRule="atLeast"/>
              <w:textAlignment w:val="baseline"/>
              <w:rPr>
                <w:rFonts w:eastAsia="Times New Roman"/>
                <w:sz w:val="18"/>
                <w:szCs w:val="18"/>
                <w:shd w:val="clear" w:color="auto" w:fill="FFFFFF"/>
                <w:lang w:val="en-GB" w:eastAsia="zh-CN"/>
              </w:rPr>
            </w:pPr>
            <w:r w:rsidRPr="00115E18">
              <w:rPr>
                <w:rFonts w:eastAsia="Times New Roman"/>
                <w:sz w:val="18"/>
                <w:szCs w:val="18"/>
                <w:shd w:val="clear" w:color="auto" w:fill="FFFFFF"/>
                <w:lang w:val="en-GB" w:eastAsia="zh-CN"/>
              </w:rPr>
              <w:t>We used GWAS summary data from a public dataset</w:t>
            </w:r>
            <w:r>
              <w:rPr>
                <w:rFonts w:eastAsia="Times New Roman" w:hint="eastAsia"/>
                <w:sz w:val="18"/>
                <w:szCs w:val="18"/>
                <w:shd w:val="clear" w:color="auto" w:fill="FFFFFF"/>
                <w:lang w:val="en-GB" w:eastAsia="zh-CN"/>
              </w:rPr>
              <w:t xml:space="preserve">. </w:t>
            </w:r>
            <w:r w:rsidRPr="00115E18">
              <w:rPr>
                <w:rFonts w:eastAsia="Times New Roman"/>
                <w:sz w:val="18"/>
                <w:szCs w:val="18"/>
                <w:shd w:val="clear" w:color="auto" w:fill="FFFFFF"/>
                <w:lang w:val="en-GB" w:eastAsia="zh-CN"/>
              </w:rPr>
              <w:t>It can be obtained from the corresponding references</w:t>
            </w:r>
            <w:r>
              <w:rPr>
                <w:rFonts w:eastAsia="Times New Roman" w:hint="eastAsia"/>
                <w:sz w:val="18"/>
                <w:szCs w:val="18"/>
                <w:shd w:val="clear" w:color="auto" w:fill="FFFFFF"/>
                <w:lang w:val="en-GB" w:eastAsia="zh-CN"/>
              </w:rPr>
              <w:t>.</w:t>
            </w:r>
          </w:p>
        </w:tc>
      </w:tr>
      <w:tr w:rsidR="00D8098C" w:rsidRPr="00B853C6" w14:paraId="69A6C8B1" w14:textId="39D94CE4" w:rsidTr="003D447D">
        <w:tc>
          <w:tcPr>
            <w:tcW w:w="587" w:type="dxa"/>
            <w:shd w:val="clear" w:color="auto" w:fill="EEEEEE"/>
          </w:tcPr>
          <w:p w14:paraId="292FBB97"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73C46B4"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shd w:val="clear" w:color="auto" w:fill="EEEEEE"/>
          </w:tcPr>
          <w:p w14:paraId="4E713FBB" w14:textId="77777777" w:rsidR="00D8098C" w:rsidRPr="00A1236D" w:rsidRDefault="00D8098C" w:rsidP="00426603">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Provide details of ethics committee approval and participant informed consent, if relevant</w:t>
            </w:r>
          </w:p>
        </w:tc>
        <w:tc>
          <w:tcPr>
            <w:tcW w:w="720" w:type="dxa"/>
            <w:shd w:val="clear" w:color="auto" w:fill="EEEEEE"/>
          </w:tcPr>
          <w:p w14:paraId="2754FA07" w14:textId="70AC21C7" w:rsidR="00D8098C" w:rsidRPr="00A1236D" w:rsidRDefault="00115E18" w:rsidP="00426603">
            <w:pPr>
              <w:spacing w:beforeLines="40" w:before="96" w:afterLines="40" w:after="96" w:line="24" w:lineRule="atLeast"/>
              <w:textAlignment w:val="baseline"/>
              <w:rPr>
                <w:rFonts w:eastAsia="Times New Roman"/>
                <w:sz w:val="18"/>
                <w:szCs w:val="18"/>
                <w:shd w:val="clear" w:color="auto" w:fill="FFFFFF"/>
                <w:lang w:val="en-GB" w:eastAsia="zh-CN"/>
              </w:rPr>
            </w:pPr>
            <w:r>
              <w:rPr>
                <w:rFonts w:eastAsia="Times New Roman" w:hint="eastAsia"/>
                <w:sz w:val="18"/>
                <w:szCs w:val="18"/>
                <w:shd w:val="clear" w:color="auto" w:fill="FFFFFF"/>
                <w:lang w:val="en-GB" w:eastAsia="zh-CN"/>
              </w:rPr>
              <w:t>NA</w:t>
            </w:r>
          </w:p>
        </w:tc>
        <w:tc>
          <w:tcPr>
            <w:tcW w:w="4320" w:type="dxa"/>
            <w:shd w:val="clear" w:color="auto" w:fill="EEEEEE"/>
          </w:tcPr>
          <w:p w14:paraId="6067A95B" w14:textId="34F03B3D" w:rsidR="00D8098C" w:rsidRDefault="00EB1612" w:rsidP="00426603">
            <w:pPr>
              <w:spacing w:beforeLines="40" w:before="96" w:afterLines="40" w:after="96" w:line="24" w:lineRule="atLeast"/>
              <w:textAlignment w:val="baseline"/>
              <w:rPr>
                <w:rFonts w:eastAsia="Times New Roman"/>
                <w:sz w:val="18"/>
                <w:szCs w:val="18"/>
                <w:shd w:val="clear" w:color="auto" w:fill="FFFFFF"/>
                <w:lang w:val="en-GB" w:eastAsia="zh-CN"/>
              </w:rPr>
            </w:pPr>
            <w:r>
              <w:rPr>
                <w:rFonts w:eastAsia="Times New Roman" w:hint="eastAsia"/>
                <w:sz w:val="18"/>
                <w:szCs w:val="18"/>
                <w:shd w:val="clear" w:color="auto" w:fill="FFFFFF"/>
                <w:lang w:val="en-GB" w:eastAsia="zh-CN"/>
              </w:rPr>
              <w:t>Not relevant.</w:t>
            </w:r>
          </w:p>
        </w:tc>
      </w:tr>
      <w:tr w:rsidR="00D8098C" w:rsidRPr="00B853C6" w14:paraId="23EA53EC" w14:textId="1D3E4E77" w:rsidTr="003D447D">
        <w:tc>
          <w:tcPr>
            <w:tcW w:w="587" w:type="dxa"/>
            <w:shd w:val="clear" w:color="auto" w:fill="auto"/>
          </w:tcPr>
          <w:p w14:paraId="3E6E0D63"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5</w:t>
            </w:r>
          </w:p>
        </w:tc>
        <w:tc>
          <w:tcPr>
            <w:tcW w:w="1822" w:type="dxa"/>
            <w:shd w:val="clear" w:color="auto" w:fill="auto"/>
          </w:tcPr>
          <w:p w14:paraId="1F0455B3"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Assumptions</w:t>
            </w:r>
          </w:p>
          <w:p w14:paraId="0458797D" w14:textId="77777777" w:rsidR="00D8098C" w:rsidRPr="00F0337F" w:rsidRDefault="00D8098C" w:rsidP="00426603">
            <w:pPr>
              <w:spacing w:beforeLines="40" w:before="96" w:afterLines="40" w:after="96" w:line="24" w:lineRule="atLeast"/>
              <w:jc w:val="center"/>
              <w:rPr>
                <w:rFonts w:eastAsia="Cambria"/>
                <w:sz w:val="18"/>
                <w:szCs w:val="18"/>
                <w:lang w:val="en-GB" w:eastAsia="en-US"/>
              </w:rPr>
            </w:pPr>
          </w:p>
        </w:tc>
        <w:tc>
          <w:tcPr>
            <w:tcW w:w="7041" w:type="dxa"/>
            <w:shd w:val="clear" w:color="auto" w:fill="auto"/>
          </w:tcPr>
          <w:p w14:paraId="5139727F"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Explicitly state the three core IV assumptions for the main analysis (relevance, independence and exclusion restriction) as well assumptions for any additional or sensitivity analysis</w:t>
            </w:r>
          </w:p>
        </w:tc>
        <w:tc>
          <w:tcPr>
            <w:tcW w:w="720" w:type="dxa"/>
          </w:tcPr>
          <w:p w14:paraId="6A2AE76D" w14:textId="7A0A42F7" w:rsidR="00D8098C" w:rsidRPr="00A1236D" w:rsidRDefault="00115E18"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7</w:t>
            </w:r>
          </w:p>
        </w:tc>
        <w:tc>
          <w:tcPr>
            <w:tcW w:w="4320" w:type="dxa"/>
          </w:tcPr>
          <w:p w14:paraId="7A54DE1B" w14:textId="590A0B44" w:rsidR="00D8098C" w:rsidRDefault="00115E18" w:rsidP="00426603">
            <w:pPr>
              <w:spacing w:beforeLines="40" w:before="96" w:afterLines="40" w:after="96" w:line="24" w:lineRule="atLeast"/>
              <w:rPr>
                <w:rFonts w:eastAsia="Times New Roman"/>
                <w:sz w:val="18"/>
                <w:szCs w:val="18"/>
                <w:lang w:val="en-GB" w:eastAsia="en-GB"/>
              </w:rPr>
            </w:pPr>
            <w:r w:rsidRPr="00115E18">
              <w:rPr>
                <w:rFonts w:eastAsia="Times New Roman"/>
                <w:sz w:val="18"/>
                <w:szCs w:val="18"/>
                <w:lang w:val="en-GB" w:eastAsia="en-GB"/>
              </w:rPr>
              <w:t>We used the inverse-variance weighted (IVW) method for causal assessment, conducted heterogeneity testing to confirm IVW applicability, and assessed pleiotropy with the MR-Egger intercept test.</w:t>
            </w:r>
          </w:p>
        </w:tc>
      </w:tr>
      <w:tr w:rsidR="00D8098C" w:rsidRPr="00B853C6" w14:paraId="6209F8C8" w14:textId="78A53B40" w:rsidTr="003D447D">
        <w:tc>
          <w:tcPr>
            <w:tcW w:w="587" w:type="dxa"/>
            <w:shd w:val="clear" w:color="auto" w:fill="EEEEEE"/>
          </w:tcPr>
          <w:p w14:paraId="6FA239C8"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6</w:t>
            </w:r>
          </w:p>
        </w:tc>
        <w:tc>
          <w:tcPr>
            <w:tcW w:w="1822" w:type="dxa"/>
            <w:shd w:val="clear" w:color="auto" w:fill="EEEEEE"/>
          </w:tcPr>
          <w:p w14:paraId="3D8F9E93"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Statistical methods: main analysis</w:t>
            </w:r>
          </w:p>
        </w:tc>
        <w:tc>
          <w:tcPr>
            <w:tcW w:w="7041" w:type="dxa"/>
            <w:shd w:val="clear" w:color="auto" w:fill="EEEEEE"/>
          </w:tcPr>
          <w:p w14:paraId="49C33D0D"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statistical methods and statistics used</w:t>
            </w:r>
          </w:p>
        </w:tc>
        <w:tc>
          <w:tcPr>
            <w:tcW w:w="720" w:type="dxa"/>
            <w:shd w:val="clear" w:color="auto" w:fill="EEEEEE"/>
          </w:tcPr>
          <w:p w14:paraId="0D1191BA"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75DF0C4B"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4346E621" w14:textId="11B8B572" w:rsidTr="003D447D">
        <w:tc>
          <w:tcPr>
            <w:tcW w:w="587" w:type="dxa"/>
            <w:shd w:val="clear" w:color="auto" w:fill="auto"/>
          </w:tcPr>
          <w:p w14:paraId="339A016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3635743C"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3BB90022"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how quantitative variables were handled in the analyses (i.e., scale, units, model)</w:t>
            </w:r>
          </w:p>
        </w:tc>
        <w:tc>
          <w:tcPr>
            <w:tcW w:w="720" w:type="dxa"/>
          </w:tcPr>
          <w:p w14:paraId="22720A53" w14:textId="6725FDD8" w:rsidR="00D8098C" w:rsidRPr="00A1236D" w:rsidRDefault="00115E18"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NA</w:t>
            </w:r>
          </w:p>
        </w:tc>
        <w:tc>
          <w:tcPr>
            <w:tcW w:w="4320" w:type="dxa"/>
          </w:tcPr>
          <w:p w14:paraId="76159846" w14:textId="4562A8D1" w:rsidR="00D8098C" w:rsidRDefault="00115E18" w:rsidP="00426603">
            <w:pPr>
              <w:spacing w:beforeLines="40" w:before="96" w:afterLines="40" w:after="96" w:line="24" w:lineRule="atLeast"/>
              <w:rPr>
                <w:rFonts w:eastAsia="Times New Roman"/>
                <w:sz w:val="18"/>
                <w:szCs w:val="18"/>
                <w:lang w:val="en-GB" w:eastAsia="en-GB"/>
              </w:rPr>
            </w:pPr>
            <w:r w:rsidRPr="00115E18">
              <w:rPr>
                <w:rFonts w:eastAsia="Times New Roman"/>
                <w:sz w:val="18"/>
                <w:szCs w:val="18"/>
                <w:shd w:val="clear" w:color="auto" w:fill="FFFFFF"/>
                <w:lang w:val="en-GB" w:eastAsia="zh-CN"/>
              </w:rPr>
              <w:t>We used GWAS summary data from a public dataset</w:t>
            </w:r>
            <w:r>
              <w:rPr>
                <w:rFonts w:eastAsia="Times New Roman" w:hint="eastAsia"/>
                <w:sz w:val="18"/>
                <w:szCs w:val="18"/>
                <w:shd w:val="clear" w:color="auto" w:fill="FFFFFF"/>
                <w:lang w:val="en-GB" w:eastAsia="zh-CN"/>
              </w:rPr>
              <w:t xml:space="preserve">. </w:t>
            </w:r>
            <w:r w:rsidRPr="00115E18">
              <w:rPr>
                <w:rFonts w:eastAsia="Times New Roman"/>
                <w:sz w:val="18"/>
                <w:szCs w:val="18"/>
                <w:shd w:val="clear" w:color="auto" w:fill="FFFFFF"/>
                <w:lang w:val="en-GB" w:eastAsia="zh-CN"/>
              </w:rPr>
              <w:t>It can be obtained from the corresponding references</w:t>
            </w:r>
            <w:r>
              <w:rPr>
                <w:rFonts w:eastAsia="Times New Roman" w:hint="eastAsia"/>
                <w:sz w:val="18"/>
                <w:szCs w:val="18"/>
                <w:shd w:val="clear" w:color="auto" w:fill="FFFFFF"/>
                <w:lang w:val="en-GB" w:eastAsia="zh-CN"/>
              </w:rPr>
              <w:t>.</w:t>
            </w:r>
          </w:p>
        </w:tc>
      </w:tr>
      <w:tr w:rsidR="00D8098C" w:rsidRPr="00B853C6" w14:paraId="642A4D4B" w14:textId="4880F3BA" w:rsidTr="003D447D">
        <w:tc>
          <w:tcPr>
            <w:tcW w:w="587" w:type="dxa"/>
            <w:shd w:val="clear" w:color="auto" w:fill="EEEEEE"/>
          </w:tcPr>
          <w:p w14:paraId="11F7484C"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569D49F3"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6B2ACDE9"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how genetic variants were handled in the analyses and, if applicable, how their weights were selected</w:t>
            </w:r>
          </w:p>
        </w:tc>
        <w:tc>
          <w:tcPr>
            <w:tcW w:w="720" w:type="dxa"/>
            <w:shd w:val="clear" w:color="auto" w:fill="EEEEEE"/>
          </w:tcPr>
          <w:p w14:paraId="0DAE64B0" w14:textId="3B0D2518" w:rsidR="00D8098C" w:rsidRPr="00A1236D" w:rsidRDefault="00115E18"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NA</w:t>
            </w:r>
          </w:p>
        </w:tc>
        <w:tc>
          <w:tcPr>
            <w:tcW w:w="4320" w:type="dxa"/>
            <w:shd w:val="clear" w:color="auto" w:fill="EEEEEE"/>
          </w:tcPr>
          <w:p w14:paraId="1612F89F" w14:textId="2BB8094E" w:rsidR="00D8098C" w:rsidRDefault="00115E18" w:rsidP="00426603">
            <w:pPr>
              <w:spacing w:beforeLines="40" w:before="96" w:afterLines="40" w:after="96" w:line="24" w:lineRule="atLeast"/>
              <w:rPr>
                <w:rFonts w:eastAsia="Times New Roman"/>
                <w:sz w:val="18"/>
                <w:szCs w:val="18"/>
                <w:lang w:val="en-GB" w:eastAsia="en-GB"/>
              </w:rPr>
            </w:pPr>
            <w:r w:rsidRPr="00115E18">
              <w:rPr>
                <w:rFonts w:eastAsia="Times New Roman"/>
                <w:sz w:val="18"/>
                <w:szCs w:val="18"/>
                <w:shd w:val="clear" w:color="auto" w:fill="FFFFFF"/>
                <w:lang w:val="en-GB" w:eastAsia="zh-CN"/>
              </w:rPr>
              <w:t>We used GWAS summary data from a public dataset</w:t>
            </w:r>
            <w:r>
              <w:rPr>
                <w:rFonts w:eastAsia="Times New Roman" w:hint="eastAsia"/>
                <w:sz w:val="18"/>
                <w:szCs w:val="18"/>
                <w:shd w:val="clear" w:color="auto" w:fill="FFFFFF"/>
                <w:lang w:val="en-GB" w:eastAsia="zh-CN"/>
              </w:rPr>
              <w:t xml:space="preserve">. </w:t>
            </w:r>
            <w:r w:rsidRPr="00115E18">
              <w:rPr>
                <w:rFonts w:eastAsia="Times New Roman"/>
                <w:sz w:val="18"/>
                <w:szCs w:val="18"/>
                <w:shd w:val="clear" w:color="auto" w:fill="FFFFFF"/>
                <w:lang w:val="en-GB" w:eastAsia="zh-CN"/>
              </w:rPr>
              <w:t>It can be obtained from the corresponding references</w:t>
            </w:r>
            <w:r>
              <w:rPr>
                <w:rFonts w:eastAsia="Times New Roman" w:hint="eastAsia"/>
                <w:sz w:val="18"/>
                <w:szCs w:val="18"/>
                <w:shd w:val="clear" w:color="auto" w:fill="FFFFFF"/>
                <w:lang w:val="en-GB" w:eastAsia="zh-CN"/>
              </w:rPr>
              <w:t>.</w:t>
            </w:r>
          </w:p>
        </w:tc>
      </w:tr>
      <w:tr w:rsidR="00D8098C" w:rsidRPr="00B853C6" w14:paraId="70378831" w14:textId="0868B0A4" w:rsidTr="003D447D">
        <w:tc>
          <w:tcPr>
            <w:tcW w:w="587" w:type="dxa"/>
            <w:shd w:val="clear" w:color="auto" w:fill="auto"/>
          </w:tcPr>
          <w:p w14:paraId="45E4149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9F665E7"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auto"/>
          </w:tcPr>
          <w:p w14:paraId="5CB03D96"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the MR estimator (e.g. two-stage least squares, Wald ratio) and related statistics. Detail the included covariates and, in case of two-sample MR, whether the same covariate set was used for adjustment in the two samples</w:t>
            </w:r>
          </w:p>
        </w:tc>
        <w:tc>
          <w:tcPr>
            <w:tcW w:w="720" w:type="dxa"/>
          </w:tcPr>
          <w:p w14:paraId="7B7E7C35" w14:textId="1DDE8AFE" w:rsidR="00D8098C" w:rsidRPr="00A1236D" w:rsidRDefault="00115E18"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7</w:t>
            </w:r>
          </w:p>
        </w:tc>
        <w:tc>
          <w:tcPr>
            <w:tcW w:w="4320" w:type="dxa"/>
          </w:tcPr>
          <w:p w14:paraId="334D44EB" w14:textId="7D8705E4" w:rsidR="00D8098C" w:rsidRDefault="00115E18" w:rsidP="00426603">
            <w:pPr>
              <w:spacing w:beforeLines="40" w:before="96" w:afterLines="40" w:after="96" w:line="24" w:lineRule="atLeast"/>
              <w:rPr>
                <w:rFonts w:eastAsia="Times New Roman"/>
                <w:sz w:val="18"/>
                <w:szCs w:val="18"/>
                <w:lang w:val="en-GB" w:eastAsia="en-GB"/>
              </w:rPr>
            </w:pPr>
            <w:r w:rsidRPr="00115E18">
              <w:rPr>
                <w:rFonts w:eastAsia="Times New Roman"/>
                <w:sz w:val="18"/>
                <w:szCs w:val="18"/>
                <w:lang w:val="en-GB" w:eastAsia="en-GB"/>
              </w:rPr>
              <w:t>We used the inverse-variance weighted (IVW) method for causal assessment, conducted heterogeneity testing to confirm IVW applicability, and assessed pleiotropy with the MR-Egger intercept test.</w:t>
            </w:r>
          </w:p>
        </w:tc>
      </w:tr>
      <w:tr w:rsidR="00D8098C" w:rsidRPr="00B853C6" w14:paraId="0D8F3A7E" w14:textId="14623463" w:rsidTr="003D447D">
        <w:tc>
          <w:tcPr>
            <w:tcW w:w="587" w:type="dxa"/>
            <w:shd w:val="clear" w:color="auto" w:fill="EEEEEE"/>
          </w:tcPr>
          <w:p w14:paraId="1D70C4C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0A3AAFD6"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EEEEEE"/>
          </w:tcPr>
          <w:p w14:paraId="08786389"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Explain how missing data were addressed</w:t>
            </w:r>
          </w:p>
        </w:tc>
        <w:tc>
          <w:tcPr>
            <w:tcW w:w="720" w:type="dxa"/>
            <w:shd w:val="clear" w:color="auto" w:fill="EEEEEE"/>
          </w:tcPr>
          <w:p w14:paraId="297C3632" w14:textId="729D23CA" w:rsidR="00D8098C" w:rsidRPr="00A1236D" w:rsidRDefault="00115E18"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NA</w:t>
            </w:r>
          </w:p>
        </w:tc>
        <w:tc>
          <w:tcPr>
            <w:tcW w:w="4320" w:type="dxa"/>
            <w:shd w:val="clear" w:color="auto" w:fill="EEEEEE"/>
          </w:tcPr>
          <w:p w14:paraId="16808665" w14:textId="6327D68F" w:rsidR="00D8098C" w:rsidRDefault="00115E18" w:rsidP="00426603">
            <w:pPr>
              <w:spacing w:beforeLines="40" w:before="96" w:afterLines="40" w:after="96" w:line="24" w:lineRule="atLeast"/>
              <w:rPr>
                <w:rFonts w:eastAsia="Times New Roman"/>
                <w:sz w:val="18"/>
                <w:szCs w:val="18"/>
                <w:lang w:val="en-GB" w:eastAsia="en-GB"/>
              </w:rPr>
            </w:pPr>
            <w:r w:rsidRPr="00115E18">
              <w:rPr>
                <w:rFonts w:eastAsia="Times New Roman"/>
                <w:sz w:val="18"/>
                <w:szCs w:val="18"/>
                <w:shd w:val="clear" w:color="auto" w:fill="FFFFFF"/>
                <w:lang w:val="en-GB" w:eastAsia="zh-CN"/>
              </w:rPr>
              <w:t>We used GWAS summary data from a public dataset</w:t>
            </w:r>
            <w:r>
              <w:rPr>
                <w:rFonts w:eastAsia="Times New Roman" w:hint="eastAsia"/>
                <w:sz w:val="18"/>
                <w:szCs w:val="18"/>
                <w:shd w:val="clear" w:color="auto" w:fill="FFFFFF"/>
                <w:lang w:val="en-GB" w:eastAsia="zh-CN"/>
              </w:rPr>
              <w:t xml:space="preserve">. </w:t>
            </w:r>
            <w:r w:rsidRPr="00115E18">
              <w:rPr>
                <w:rFonts w:eastAsia="Times New Roman"/>
                <w:sz w:val="18"/>
                <w:szCs w:val="18"/>
                <w:shd w:val="clear" w:color="auto" w:fill="FFFFFF"/>
                <w:lang w:val="en-GB" w:eastAsia="zh-CN"/>
              </w:rPr>
              <w:t>It can be obtained from the corresponding references</w:t>
            </w:r>
            <w:r>
              <w:rPr>
                <w:rFonts w:eastAsia="Times New Roman" w:hint="eastAsia"/>
                <w:sz w:val="18"/>
                <w:szCs w:val="18"/>
                <w:shd w:val="clear" w:color="auto" w:fill="FFFFFF"/>
                <w:lang w:val="en-GB" w:eastAsia="zh-CN"/>
              </w:rPr>
              <w:t>.</w:t>
            </w:r>
          </w:p>
        </w:tc>
      </w:tr>
      <w:tr w:rsidR="00D8098C" w:rsidRPr="00B853C6" w14:paraId="77F037B8" w14:textId="6696FA54" w:rsidTr="003D447D">
        <w:tc>
          <w:tcPr>
            <w:tcW w:w="587" w:type="dxa"/>
            <w:shd w:val="clear" w:color="auto" w:fill="auto"/>
          </w:tcPr>
          <w:p w14:paraId="4AC39E5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4D9E0350"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shd w:val="clear" w:color="auto" w:fill="auto"/>
          </w:tcPr>
          <w:p w14:paraId="41F1E523"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applicable, indicate how multiple testing was addressed</w:t>
            </w:r>
          </w:p>
        </w:tc>
        <w:tc>
          <w:tcPr>
            <w:tcW w:w="720" w:type="dxa"/>
          </w:tcPr>
          <w:p w14:paraId="6B5C4982" w14:textId="7F2AF17A" w:rsidR="00D8098C" w:rsidRPr="00A1236D" w:rsidRDefault="00115E18"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NA</w:t>
            </w:r>
          </w:p>
        </w:tc>
        <w:tc>
          <w:tcPr>
            <w:tcW w:w="4320" w:type="dxa"/>
          </w:tcPr>
          <w:p w14:paraId="490E44D4" w14:textId="208C5405" w:rsidR="00D8098C" w:rsidRDefault="00115E18" w:rsidP="00426603">
            <w:pPr>
              <w:spacing w:beforeLines="40" w:before="96" w:afterLines="40" w:after="96" w:line="24" w:lineRule="atLeast"/>
              <w:rPr>
                <w:rFonts w:eastAsia="Times New Roman"/>
                <w:sz w:val="18"/>
                <w:szCs w:val="18"/>
                <w:lang w:val="en-GB" w:eastAsia="en-GB"/>
              </w:rPr>
            </w:pPr>
            <w:r w:rsidRPr="00115E18">
              <w:rPr>
                <w:rFonts w:eastAsia="Times New Roman"/>
                <w:sz w:val="18"/>
                <w:szCs w:val="18"/>
                <w:lang w:val="en-GB" w:eastAsia="en-GB"/>
              </w:rPr>
              <w:t>Due to exploratory findings, we did not perform multiple test correction, and the MR Results will be further verified by ELISA.</w:t>
            </w:r>
          </w:p>
        </w:tc>
      </w:tr>
      <w:tr w:rsidR="00D8098C" w:rsidRPr="00B853C6" w14:paraId="585043CE" w14:textId="4922F612" w:rsidTr="003D447D">
        <w:tc>
          <w:tcPr>
            <w:tcW w:w="587" w:type="dxa"/>
            <w:shd w:val="clear" w:color="auto" w:fill="EEEEEE"/>
          </w:tcPr>
          <w:p w14:paraId="55967D09"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7</w:t>
            </w:r>
          </w:p>
        </w:tc>
        <w:tc>
          <w:tcPr>
            <w:tcW w:w="1822" w:type="dxa"/>
            <w:shd w:val="clear" w:color="auto" w:fill="EEEEEE"/>
          </w:tcPr>
          <w:p w14:paraId="0947B164"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Assessment of assumptions</w:t>
            </w:r>
          </w:p>
        </w:tc>
        <w:tc>
          <w:tcPr>
            <w:tcW w:w="7041" w:type="dxa"/>
            <w:shd w:val="clear" w:color="auto" w:fill="EEEEEE"/>
          </w:tcPr>
          <w:p w14:paraId="1E6D0B1E" w14:textId="77777777" w:rsidR="00D8098C" w:rsidRPr="00A1236D" w:rsidRDefault="00D8098C" w:rsidP="00426603">
            <w:pPr>
              <w:tabs>
                <w:tab w:val="left" w:pos="1620"/>
              </w:tabs>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any methods or prior knowledge used to assess the assumptions or justify their validity</w:t>
            </w:r>
            <w:r w:rsidRPr="00A1236D">
              <w:rPr>
                <w:rFonts w:eastAsia="Cambria"/>
                <w:sz w:val="18"/>
                <w:szCs w:val="18"/>
                <w:lang w:val="en-GB" w:eastAsia="en-US"/>
              </w:rPr>
              <w:tab/>
            </w:r>
          </w:p>
        </w:tc>
        <w:tc>
          <w:tcPr>
            <w:tcW w:w="720" w:type="dxa"/>
            <w:shd w:val="clear" w:color="auto" w:fill="EEEEEE"/>
          </w:tcPr>
          <w:p w14:paraId="61C50F74" w14:textId="406D69F1" w:rsidR="00D8098C" w:rsidRPr="00A1236D" w:rsidRDefault="00165C28" w:rsidP="00426603">
            <w:pPr>
              <w:tabs>
                <w:tab w:val="left" w:pos="1620"/>
              </w:tabs>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NA</w:t>
            </w:r>
          </w:p>
        </w:tc>
        <w:tc>
          <w:tcPr>
            <w:tcW w:w="4320" w:type="dxa"/>
            <w:shd w:val="clear" w:color="auto" w:fill="EEEEEE"/>
          </w:tcPr>
          <w:p w14:paraId="5D46DB2B" w14:textId="78CF7BEF" w:rsidR="00D8098C" w:rsidRDefault="00165C28" w:rsidP="00426603">
            <w:pPr>
              <w:tabs>
                <w:tab w:val="left" w:pos="1620"/>
              </w:tabs>
              <w:spacing w:beforeLines="40" w:before="96" w:afterLines="40" w:after="96" w:line="24" w:lineRule="atLeast"/>
              <w:rPr>
                <w:rFonts w:eastAsia="Times New Roman"/>
                <w:sz w:val="18"/>
                <w:szCs w:val="18"/>
                <w:lang w:val="en-GB" w:eastAsia="en-GB"/>
              </w:rPr>
            </w:pPr>
            <w:r w:rsidRPr="00165C28">
              <w:rPr>
                <w:rFonts w:eastAsia="Times New Roman"/>
                <w:sz w:val="18"/>
                <w:szCs w:val="18"/>
                <w:lang w:val="en-GB" w:eastAsia="en-GB"/>
              </w:rPr>
              <w:t xml:space="preserve">We suggest possible correlation hypotheses from the previous </w:t>
            </w:r>
            <w:proofErr w:type="spellStart"/>
            <w:r w:rsidRPr="00165C28">
              <w:rPr>
                <w:rFonts w:eastAsia="Times New Roman"/>
                <w:sz w:val="18"/>
                <w:szCs w:val="18"/>
                <w:lang w:val="en-GB" w:eastAsia="en-GB"/>
              </w:rPr>
              <w:t>hdWGCNA</w:t>
            </w:r>
            <w:proofErr w:type="spellEnd"/>
            <w:r w:rsidRPr="00165C28">
              <w:rPr>
                <w:rFonts w:eastAsia="Times New Roman"/>
                <w:sz w:val="18"/>
                <w:szCs w:val="18"/>
                <w:lang w:val="en-GB" w:eastAsia="en-GB"/>
              </w:rPr>
              <w:t xml:space="preserve"> analysis</w:t>
            </w:r>
          </w:p>
        </w:tc>
      </w:tr>
      <w:tr w:rsidR="00D8098C" w:rsidRPr="00B853C6" w14:paraId="383932D9" w14:textId="2C1AFE56" w:rsidTr="003D447D">
        <w:tc>
          <w:tcPr>
            <w:tcW w:w="587" w:type="dxa"/>
            <w:shd w:val="clear" w:color="auto" w:fill="auto"/>
          </w:tcPr>
          <w:p w14:paraId="1A4621BC"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8</w:t>
            </w:r>
          </w:p>
        </w:tc>
        <w:tc>
          <w:tcPr>
            <w:tcW w:w="1822" w:type="dxa"/>
            <w:shd w:val="clear" w:color="auto" w:fill="auto"/>
          </w:tcPr>
          <w:p w14:paraId="0F88F25B"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Sensitivity analyses and additional analyses</w:t>
            </w:r>
          </w:p>
        </w:tc>
        <w:tc>
          <w:tcPr>
            <w:tcW w:w="7041" w:type="dxa"/>
            <w:shd w:val="clear" w:color="auto" w:fill="auto"/>
          </w:tcPr>
          <w:p w14:paraId="13C6445C"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any sensitivity analyses or additional analyses performed (e.g. comparison of effect estimates from different approaches, independent replication, bias analytic techniques, validation of instruments, simulations)</w:t>
            </w:r>
          </w:p>
        </w:tc>
        <w:tc>
          <w:tcPr>
            <w:tcW w:w="720" w:type="dxa"/>
          </w:tcPr>
          <w:p w14:paraId="4B9B6FF5" w14:textId="45059D00" w:rsidR="00D8098C" w:rsidRPr="00A1236D" w:rsidRDefault="00115E18"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6</w:t>
            </w:r>
          </w:p>
        </w:tc>
        <w:tc>
          <w:tcPr>
            <w:tcW w:w="4320" w:type="dxa"/>
          </w:tcPr>
          <w:p w14:paraId="229BFDFD" w14:textId="2F40ED9B" w:rsidR="00D8098C" w:rsidRDefault="00115E18" w:rsidP="00426603">
            <w:pPr>
              <w:spacing w:beforeLines="40" w:before="96" w:afterLines="40" w:after="96" w:line="24" w:lineRule="atLeast"/>
              <w:rPr>
                <w:rFonts w:eastAsia="Times New Roman"/>
                <w:sz w:val="18"/>
                <w:szCs w:val="18"/>
                <w:lang w:val="en-GB" w:eastAsia="en-GB"/>
              </w:rPr>
            </w:pPr>
            <w:r w:rsidRPr="00115E18">
              <w:rPr>
                <w:rFonts w:eastAsia="Times New Roman"/>
                <w:sz w:val="18"/>
                <w:szCs w:val="18"/>
                <w:lang w:val="en-GB" w:eastAsia="en-GB"/>
              </w:rPr>
              <w:t xml:space="preserve">Outcome data for MN were obtained from the IEU </w:t>
            </w:r>
            <w:proofErr w:type="spellStart"/>
            <w:r w:rsidRPr="00115E18">
              <w:rPr>
                <w:rFonts w:eastAsia="Times New Roman"/>
                <w:sz w:val="18"/>
                <w:szCs w:val="18"/>
                <w:lang w:val="en-GB" w:eastAsia="en-GB"/>
              </w:rPr>
              <w:t>OpenGWAS</w:t>
            </w:r>
            <w:proofErr w:type="spellEnd"/>
            <w:r w:rsidRPr="00115E18">
              <w:rPr>
                <w:rFonts w:eastAsia="Times New Roman"/>
                <w:sz w:val="18"/>
                <w:szCs w:val="18"/>
                <w:lang w:val="en-GB" w:eastAsia="en-GB"/>
              </w:rPr>
              <w:t xml:space="preserve"> database, incorporating datasets from diverse populations, including ebi-a-GCST010005 (2150 cases and 5829 controls of European ancestry) and ebi-a-GCST010004 (1632 cases and 3209 controls of East Asian ancestry) for discovery and validation. We used the inverse-variance weighted (IVW) method for causal assessment, conducted heterogeneity testing to confirm IVW applicability, and assessed pleiotropy with the MR-Egger intercept test. Finally, reverse MR analysis was performed to explore reverse causality between gene expression and MN.</w:t>
            </w:r>
          </w:p>
        </w:tc>
      </w:tr>
      <w:tr w:rsidR="00D8098C" w:rsidRPr="00B853C6" w14:paraId="55C7A410" w14:textId="0BAB653A" w:rsidTr="003D447D">
        <w:tc>
          <w:tcPr>
            <w:tcW w:w="587" w:type="dxa"/>
            <w:shd w:val="clear" w:color="auto" w:fill="EEEEEE"/>
          </w:tcPr>
          <w:p w14:paraId="056075DE"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9</w:t>
            </w:r>
          </w:p>
        </w:tc>
        <w:tc>
          <w:tcPr>
            <w:tcW w:w="1822" w:type="dxa"/>
            <w:shd w:val="clear" w:color="auto" w:fill="EEEEEE"/>
          </w:tcPr>
          <w:p w14:paraId="6096809E"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Software and pre-registration</w:t>
            </w:r>
          </w:p>
        </w:tc>
        <w:tc>
          <w:tcPr>
            <w:tcW w:w="7041" w:type="dxa"/>
            <w:shd w:val="clear" w:color="auto" w:fill="EEEEEE"/>
          </w:tcPr>
          <w:p w14:paraId="08D1055E"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shd w:val="clear" w:color="auto" w:fill="EEEEEE"/>
          </w:tcPr>
          <w:p w14:paraId="721E714E"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shd w:val="clear" w:color="auto" w:fill="EEEEEE"/>
          </w:tcPr>
          <w:p w14:paraId="495710C0"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5EA9EBD1" w14:textId="4D05FA5B" w:rsidTr="003D447D">
        <w:tc>
          <w:tcPr>
            <w:tcW w:w="587" w:type="dxa"/>
            <w:shd w:val="clear" w:color="auto" w:fill="auto"/>
          </w:tcPr>
          <w:p w14:paraId="66EDED80"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0BD32B9"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054FBA47"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Name statistical software and package(s), including version and settings used </w:t>
            </w:r>
          </w:p>
        </w:tc>
        <w:tc>
          <w:tcPr>
            <w:tcW w:w="720" w:type="dxa"/>
          </w:tcPr>
          <w:p w14:paraId="305BB821" w14:textId="4AD287E5" w:rsidR="00D8098C" w:rsidRPr="00A1236D" w:rsidRDefault="00165C28"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6</w:t>
            </w:r>
          </w:p>
        </w:tc>
        <w:tc>
          <w:tcPr>
            <w:tcW w:w="4320" w:type="dxa"/>
          </w:tcPr>
          <w:p w14:paraId="79626260" w14:textId="74611906" w:rsidR="00D8098C" w:rsidRDefault="00165C28" w:rsidP="00426603">
            <w:pPr>
              <w:spacing w:beforeLines="40" w:before="96" w:afterLines="40" w:after="96" w:line="24" w:lineRule="atLeast"/>
              <w:rPr>
                <w:rFonts w:eastAsia="Times New Roman"/>
                <w:sz w:val="18"/>
                <w:szCs w:val="18"/>
                <w:lang w:val="en-GB" w:eastAsia="en-GB"/>
              </w:rPr>
            </w:pPr>
            <w:r w:rsidRPr="00165C28">
              <w:rPr>
                <w:rFonts w:eastAsia="Times New Roman"/>
                <w:sz w:val="18"/>
                <w:szCs w:val="18"/>
                <w:lang w:val="en-GB" w:eastAsia="en-GB"/>
              </w:rPr>
              <w:t xml:space="preserve">To investigate the causal relationship between module gene expression and MN, we conducted a bidirectional Mendelian Randomization (MR) analysis using the </w:t>
            </w:r>
            <w:proofErr w:type="spellStart"/>
            <w:r w:rsidRPr="00165C28">
              <w:rPr>
                <w:rFonts w:eastAsia="Times New Roman"/>
                <w:sz w:val="18"/>
                <w:szCs w:val="18"/>
                <w:lang w:val="en-GB" w:eastAsia="en-GB"/>
              </w:rPr>
              <w:t>TwoSampleMR</w:t>
            </w:r>
            <w:proofErr w:type="spellEnd"/>
            <w:r w:rsidRPr="00165C28">
              <w:rPr>
                <w:rFonts w:eastAsia="Times New Roman"/>
                <w:sz w:val="18"/>
                <w:szCs w:val="18"/>
                <w:lang w:val="en-GB" w:eastAsia="en-GB"/>
              </w:rPr>
              <w:t xml:space="preserve"> package (version 0.5.7). </w:t>
            </w:r>
            <w:proofErr w:type="spellStart"/>
            <w:r w:rsidRPr="00165C28">
              <w:rPr>
                <w:rFonts w:eastAsia="Times New Roman"/>
                <w:sz w:val="18"/>
                <w:szCs w:val="18"/>
                <w:lang w:val="en-GB" w:eastAsia="en-GB"/>
              </w:rPr>
              <w:t>eQTL</w:t>
            </w:r>
            <w:proofErr w:type="spellEnd"/>
            <w:r w:rsidRPr="00165C28">
              <w:rPr>
                <w:rFonts w:eastAsia="Times New Roman"/>
                <w:sz w:val="18"/>
                <w:szCs w:val="18"/>
                <w:lang w:val="en-GB" w:eastAsia="en-GB"/>
              </w:rPr>
              <w:t xml:space="preserve"> data were obtained from the IEU </w:t>
            </w:r>
            <w:proofErr w:type="spellStart"/>
            <w:r w:rsidRPr="00165C28">
              <w:rPr>
                <w:rFonts w:eastAsia="Times New Roman"/>
                <w:sz w:val="18"/>
                <w:szCs w:val="18"/>
                <w:lang w:val="en-GB" w:eastAsia="en-GB"/>
              </w:rPr>
              <w:t>OpenGWAS</w:t>
            </w:r>
            <w:proofErr w:type="spellEnd"/>
            <w:r w:rsidRPr="00165C28">
              <w:rPr>
                <w:rFonts w:eastAsia="Times New Roman"/>
                <w:sz w:val="18"/>
                <w:szCs w:val="18"/>
                <w:lang w:val="en-GB" w:eastAsia="en-GB"/>
              </w:rPr>
              <w:t xml:space="preserve"> database and </w:t>
            </w:r>
            <w:proofErr w:type="spellStart"/>
            <w:proofErr w:type="gramStart"/>
            <w:r w:rsidRPr="00165C28">
              <w:rPr>
                <w:rFonts w:eastAsia="Times New Roman"/>
                <w:sz w:val="18"/>
                <w:szCs w:val="18"/>
                <w:lang w:val="en-GB" w:eastAsia="en-GB"/>
              </w:rPr>
              <w:t>NephQTL</w:t>
            </w:r>
            <w:proofErr w:type="spellEnd"/>
            <w:r w:rsidRPr="00165C28">
              <w:rPr>
                <w:rFonts w:eastAsia="Times New Roman"/>
                <w:sz w:val="18"/>
                <w:szCs w:val="18"/>
                <w:lang w:val="en-GB" w:eastAsia="en-GB"/>
              </w:rPr>
              <w:t>[</w:t>
            </w:r>
            <w:proofErr w:type="gramEnd"/>
            <w:r w:rsidRPr="00165C28">
              <w:rPr>
                <w:rFonts w:eastAsia="Times New Roman"/>
                <w:sz w:val="18"/>
                <w:szCs w:val="18"/>
                <w:lang w:val="en-GB" w:eastAsia="en-GB"/>
              </w:rPr>
              <w:t>25].</w:t>
            </w:r>
          </w:p>
        </w:tc>
      </w:tr>
      <w:tr w:rsidR="00D8098C" w:rsidRPr="00B853C6" w14:paraId="6A631D93" w14:textId="2BD5AA8E" w:rsidTr="003D447D">
        <w:tc>
          <w:tcPr>
            <w:tcW w:w="587" w:type="dxa"/>
            <w:tcBorders>
              <w:bottom w:val="single" w:sz="6" w:space="0" w:color="7F7F7F"/>
            </w:tcBorders>
            <w:shd w:val="clear" w:color="auto" w:fill="EEEEEE"/>
          </w:tcPr>
          <w:p w14:paraId="37C88958"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Borders>
              <w:bottom w:val="single" w:sz="6" w:space="0" w:color="7F7F7F"/>
            </w:tcBorders>
            <w:shd w:val="clear" w:color="auto" w:fill="EEEEEE"/>
          </w:tcPr>
          <w:p w14:paraId="2349B556"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tcBorders>
              <w:bottom w:val="single" w:sz="6" w:space="0" w:color="7F7F7F"/>
            </w:tcBorders>
            <w:shd w:val="clear" w:color="auto" w:fill="EEEEEE"/>
          </w:tcPr>
          <w:p w14:paraId="5DBE58D7"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State whether the study protocol and details were pre-registered (as well as when and where)</w:t>
            </w:r>
          </w:p>
        </w:tc>
        <w:tc>
          <w:tcPr>
            <w:tcW w:w="720" w:type="dxa"/>
            <w:tcBorders>
              <w:bottom w:val="single" w:sz="6" w:space="0" w:color="7F7F7F"/>
            </w:tcBorders>
            <w:shd w:val="clear" w:color="auto" w:fill="EEEEEE"/>
          </w:tcPr>
          <w:p w14:paraId="2325504F" w14:textId="35F510AA" w:rsidR="00D8098C" w:rsidRPr="00A1236D" w:rsidRDefault="00165C28"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NA</w:t>
            </w:r>
          </w:p>
        </w:tc>
        <w:tc>
          <w:tcPr>
            <w:tcW w:w="4320" w:type="dxa"/>
            <w:tcBorders>
              <w:bottom w:val="single" w:sz="6" w:space="0" w:color="7F7F7F"/>
            </w:tcBorders>
            <w:shd w:val="clear" w:color="auto" w:fill="EEEEEE"/>
          </w:tcPr>
          <w:p w14:paraId="3EFCD231" w14:textId="64A405A1" w:rsidR="00D8098C" w:rsidRDefault="00165C28"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 xml:space="preserve">Have not </w:t>
            </w:r>
            <w:r w:rsidRPr="00A1236D">
              <w:rPr>
                <w:rFonts w:eastAsia="Times New Roman"/>
                <w:sz w:val="18"/>
                <w:szCs w:val="18"/>
                <w:lang w:val="en-GB" w:eastAsia="en-GB"/>
              </w:rPr>
              <w:t>pre-registered</w:t>
            </w:r>
            <w:r>
              <w:rPr>
                <w:rFonts w:eastAsia="Times New Roman" w:hint="eastAsia"/>
                <w:sz w:val="18"/>
                <w:szCs w:val="18"/>
                <w:lang w:val="en-GB" w:eastAsia="zh-CN"/>
              </w:rPr>
              <w:t>.</w:t>
            </w:r>
          </w:p>
        </w:tc>
      </w:tr>
      <w:tr w:rsidR="00D8098C" w:rsidRPr="00B853C6" w14:paraId="040F15E5" w14:textId="3B11C618" w:rsidTr="003D447D">
        <w:tc>
          <w:tcPr>
            <w:tcW w:w="587" w:type="dxa"/>
            <w:tcBorders>
              <w:top w:val="single" w:sz="6" w:space="0" w:color="7F7F7F"/>
            </w:tcBorders>
            <w:shd w:val="clear" w:color="auto" w:fill="auto"/>
          </w:tcPr>
          <w:p w14:paraId="777278B3"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7D8D653B"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RESULTS</w:t>
            </w:r>
          </w:p>
        </w:tc>
        <w:tc>
          <w:tcPr>
            <w:tcW w:w="7041" w:type="dxa"/>
            <w:tcBorders>
              <w:top w:val="single" w:sz="6" w:space="0" w:color="7F7F7F"/>
            </w:tcBorders>
            <w:shd w:val="clear" w:color="auto" w:fill="auto"/>
          </w:tcPr>
          <w:p w14:paraId="3471928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0E355A69"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33E956D1"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67F47EED" w14:textId="4A481C08" w:rsidTr="003D447D">
        <w:tc>
          <w:tcPr>
            <w:tcW w:w="587" w:type="dxa"/>
            <w:shd w:val="clear" w:color="auto" w:fill="EEEEEE"/>
          </w:tcPr>
          <w:p w14:paraId="51C7A54B"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10</w:t>
            </w:r>
          </w:p>
        </w:tc>
        <w:tc>
          <w:tcPr>
            <w:tcW w:w="1822" w:type="dxa"/>
            <w:shd w:val="clear" w:color="auto" w:fill="EEEEEE"/>
          </w:tcPr>
          <w:p w14:paraId="731D0370"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Descriptive data</w:t>
            </w:r>
          </w:p>
        </w:tc>
        <w:tc>
          <w:tcPr>
            <w:tcW w:w="7041" w:type="dxa"/>
            <w:shd w:val="clear" w:color="auto" w:fill="EEEEEE"/>
          </w:tcPr>
          <w:p w14:paraId="3B19CDAF"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shd w:val="clear" w:color="auto" w:fill="EEEEEE"/>
          </w:tcPr>
          <w:p w14:paraId="1091FF5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shd w:val="clear" w:color="auto" w:fill="EEEEEE"/>
          </w:tcPr>
          <w:p w14:paraId="4B684E79"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6CA228D1" w14:textId="316B6A36" w:rsidTr="003D447D">
        <w:tc>
          <w:tcPr>
            <w:tcW w:w="587" w:type="dxa"/>
            <w:shd w:val="clear" w:color="auto" w:fill="auto"/>
          </w:tcPr>
          <w:p w14:paraId="29B62776"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4C1499C8"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4D5C652C" w14:textId="6B5065AC"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numbers of individuals at each stage of included studies and reasons for ex</w:t>
            </w:r>
            <w:r w:rsidR="000A4CE8">
              <w:rPr>
                <w:rFonts w:eastAsia="Times New Roman"/>
                <w:sz w:val="18"/>
                <w:szCs w:val="18"/>
                <w:lang w:val="en-GB" w:eastAsia="en-GB"/>
              </w:rPr>
              <w:t xml:space="preserve">clusion. Consider use of a flow </w:t>
            </w:r>
            <w:r w:rsidRPr="00A1236D">
              <w:rPr>
                <w:rFonts w:eastAsia="Times New Roman"/>
                <w:sz w:val="18"/>
                <w:szCs w:val="18"/>
                <w:lang w:val="en-GB" w:eastAsia="en-GB"/>
              </w:rPr>
              <w:t>diagram</w:t>
            </w:r>
          </w:p>
        </w:tc>
        <w:tc>
          <w:tcPr>
            <w:tcW w:w="720" w:type="dxa"/>
          </w:tcPr>
          <w:p w14:paraId="7AF8CC23" w14:textId="19293AF8" w:rsidR="00D8098C" w:rsidRPr="00A1236D" w:rsidRDefault="00165C28"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NA</w:t>
            </w:r>
          </w:p>
        </w:tc>
        <w:tc>
          <w:tcPr>
            <w:tcW w:w="4320" w:type="dxa"/>
          </w:tcPr>
          <w:p w14:paraId="00D65497" w14:textId="656364F4" w:rsidR="00D8098C" w:rsidRDefault="00165C28" w:rsidP="00426603">
            <w:pPr>
              <w:spacing w:beforeLines="40" w:before="96" w:afterLines="40" w:after="96" w:line="24" w:lineRule="atLeast"/>
              <w:rPr>
                <w:rFonts w:eastAsia="Times New Roman"/>
                <w:sz w:val="18"/>
                <w:szCs w:val="18"/>
                <w:lang w:val="en-GB" w:eastAsia="en-GB"/>
              </w:rPr>
            </w:pPr>
            <w:r w:rsidRPr="00115E18">
              <w:rPr>
                <w:rFonts w:eastAsia="Times New Roman"/>
                <w:sz w:val="18"/>
                <w:szCs w:val="18"/>
                <w:shd w:val="clear" w:color="auto" w:fill="FFFFFF"/>
                <w:lang w:val="en-GB" w:eastAsia="zh-CN"/>
              </w:rPr>
              <w:t>We used GWAS summary data from a public dataset</w:t>
            </w:r>
            <w:r>
              <w:rPr>
                <w:rFonts w:eastAsia="Times New Roman" w:hint="eastAsia"/>
                <w:sz w:val="18"/>
                <w:szCs w:val="18"/>
                <w:shd w:val="clear" w:color="auto" w:fill="FFFFFF"/>
                <w:lang w:val="en-GB" w:eastAsia="zh-CN"/>
              </w:rPr>
              <w:t xml:space="preserve">. </w:t>
            </w:r>
            <w:r w:rsidRPr="00165C28">
              <w:rPr>
                <w:rFonts w:eastAsia="Times New Roman"/>
                <w:sz w:val="18"/>
                <w:szCs w:val="18"/>
                <w:shd w:val="clear" w:color="auto" w:fill="FFFFFF"/>
                <w:lang w:val="en-GB" w:eastAsia="zh-CN"/>
              </w:rPr>
              <w:t>The number of samples for each dataset is described in the M&amp;M.</w:t>
            </w:r>
            <w:r>
              <w:rPr>
                <w:rFonts w:eastAsia="Times New Roman" w:hint="eastAsia"/>
                <w:sz w:val="18"/>
                <w:szCs w:val="18"/>
                <w:shd w:val="clear" w:color="auto" w:fill="FFFFFF"/>
                <w:lang w:val="en-GB" w:eastAsia="zh-CN"/>
              </w:rPr>
              <w:t xml:space="preserve"> Others</w:t>
            </w:r>
            <w:r w:rsidRPr="00115E18">
              <w:rPr>
                <w:rFonts w:eastAsia="Times New Roman"/>
                <w:sz w:val="18"/>
                <w:szCs w:val="18"/>
                <w:shd w:val="clear" w:color="auto" w:fill="FFFFFF"/>
                <w:lang w:val="en-GB" w:eastAsia="zh-CN"/>
              </w:rPr>
              <w:t xml:space="preserve"> can be obtained from the corresponding references</w:t>
            </w:r>
            <w:r>
              <w:rPr>
                <w:rFonts w:eastAsia="Times New Roman" w:hint="eastAsia"/>
                <w:sz w:val="18"/>
                <w:szCs w:val="18"/>
                <w:shd w:val="clear" w:color="auto" w:fill="FFFFFF"/>
                <w:lang w:val="en-GB" w:eastAsia="zh-CN"/>
              </w:rPr>
              <w:t>.</w:t>
            </w:r>
          </w:p>
        </w:tc>
      </w:tr>
      <w:tr w:rsidR="00D8098C" w:rsidRPr="00B853C6" w14:paraId="0765C344" w14:textId="3B2EDCCF" w:rsidTr="003D447D">
        <w:tc>
          <w:tcPr>
            <w:tcW w:w="587" w:type="dxa"/>
            <w:shd w:val="clear" w:color="auto" w:fill="EEEEEE"/>
          </w:tcPr>
          <w:p w14:paraId="2404BFFB"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545C2F1"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405491AF" w14:textId="3F437E24" w:rsidR="00D8098C" w:rsidRPr="00A1236D" w:rsidRDefault="00D8098C" w:rsidP="009E033F">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Report summary statistics for phenotypic exposure(s), outcome(s)</w:t>
            </w:r>
            <w:r w:rsidR="000A4CE8">
              <w:rPr>
                <w:rFonts w:eastAsia="Times New Roman"/>
                <w:sz w:val="18"/>
                <w:szCs w:val="18"/>
                <w:lang w:val="en-GB" w:eastAsia="en-GB"/>
              </w:rPr>
              <w:t>,</w:t>
            </w:r>
            <w:r w:rsidRPr="00A1236D">
              <w:rPr>
                <w:rFonts w:eastAsia="Times New Roman"/>
                <w:sz w:val="18"/>
                <w:szCs w:val="18"/>
                <w:lang w:val="en-GB" w:eastAsia="en-GB"/>
              </w:rPr>
              <w:t xml:space="preserve"> and other relevant variables (e.g. means, </w:t>
            </w:r>
            <w:r w:rsidR="009E033F">
              <w:rPr>
                <w:rFonts w:eastAsia="Times New Roman"/>
                <w:sz w:val="18"/>
                <w:szCs w:val="18"/>
                <w:lang w:val="en-GB" w:eastAsia="en-GB"/>
              </w:rPr>
              <w:t>SDs</w:t>
            </w:r>
            <w:r w:rsidRPr="00A1236D">
              <w:rPr>
                <w:rFonts w:eastAsia="Times New Roman"/>
                <w:sz w:val="18"/>
                <w:szCs w:val="18"/>
                <w:lang w:val="en-GB" w:eastAsia="en-GB"/>
              </w:rPr>
              <w:t>, proportions)</w:t>
            </w:r>
          </w:p>
        </w:tc>
        <w:tc>
          <w:tcPr>
            <w:tcW w:w="720" w:type="dxa"/>
            <w:shd w:val="clear" w:color="auto" w:fill="EEEEEE"/>
          </w:tcPr>
          <w:p w14:paraId="03BBA613" w14:textId="6B370DE7" w:rsidR="00D8098C" w:rsidRPr="00A1236D" w:rsidRDefault="00165C28"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NA</w:t>
            </w:r>
          </w:p>
        </w:tc>
        <w:tc>
          <w:tcPr>
            <w:tcW w:w="4320" w:type="dxa"/>
            <w:shd w:val="clear" w:color="auto" w:fill="EEEEEE"/>
          </w:tcPr>
          <w:p w14:paraId="0FD9D468" w14:textId="5B758F9A" w:rsidR="00D8098C" w:rsidRDefault="00165C28" w:rsidP="00426603">
            <w:pPr>
              <w:spacing w:beforeLines="40" w:before="96" w:afterLines="40" w:after="96" w:line="24" w:lineRule="atLeast"/>
              <w:rPr>
                <w:rFonts w:eastAsia="Times New Roman"/>
                <w:sz w:val="18"/>
                <w:szCs w:val="18"/>
                <w:lang w:val="en-GB" w:eastAsia="en-GB"/>
              </w:rPr>
            </w:pPr>
            <w:r w:rsidRPr="00115E18">
              <w:rPr>
                <w:rFonts w:eastAsia="Times New Roman"/>
                <w:sz w:val="18"/>
                <w:szCs w:val="18"/>
                <w:shd w:val="clear" w:color="auto" w:fill="FFFFFF"/>
                <w:lang w:val="en-GB" w:eastAsia="zh-CN"/>
              </w:rPr>
              <w:t>We used GWAS summary data from a public dataset</w:t>
            </w:r>
            <w:r>
              <w:rPr>
                <w:rFonts w:eastAsia="Times New Roman" w:hint="eastAsia"/>
                <w:sz w:val="18"/>
                <w:szCs w:val="18"/>
                <w:shd w:val="clear" w:color="auto" w:fill="FFFFFF"/>
                <w:lang w:val="en-GB" w:eastAsia="zh-CN"/>
              </w:rPr>
              <w:t xml:space="preserve">. </w:t>
            </w:r>
            <w:r w:rsidRPr="00115E18">
              <w:rPr>
                <w:rFonts w:eastAsia="Times New Roman"/>
                <w:sz w:val="18"/>
                <w:szCs w:val="18"/>
                <w:shd w:val="clear" w:color="auto" w:fill="FFFFFF"/>
                <w:lang w:val="en-GB" w:eastAsia="zh-CN"/>
              </w:rPr>
              <w:t>It can be obtained from the corresponding references</w:t>
            </w:r>
            <w:r>
              <w:rPr>
                <w:rFonts w:eastAsia="Times New Roman" w:hint="eastAsia"/>
                <w:sz w:val="18"/>
                <w:szCs w:val="18"/>
                <w:shd w:val="clear" w:color="auto" w:fill="FFFFFF"/>
                <w:lang w:val="en-GB" w:eastAsia="zh-CN"/>
              </w:rPr>
              <w:t>.</w:t>
            </w:r>
          </w:p>
        </w:tc>
      </w:tr>
      <w:tr w:rsidR="00D8098C" w:rsidRPr="00B853C6" w14:paraId="48F10342" w14:textId="398F2C24" w:rsidTr="003D447D">
        <w:tc>
          <w:tcPr>
            <w:tcW w:w="587" w:type="dxa"/>
            <w:shd w:val="clear" w:color="auto" w:fill="auto"/>
          </w:tcPr>
          <w:p w14:paraId="6600AF43"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435099F2"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auto"/>
          </w:tcPr>
          <w:p w14:paraId="062EB561"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the data sources include meta-analyses of previous studies, provide the assessments of heterogeneity across these studies</w:t>
            </w:r>
          </w:p>
        </w:tc>
        <w:tc>
          <w:tcPr>
            <w:tcW w:w="720" w:type="dxa"/>
          </w:tcPr>
          <w:p w14:paraId="10F6EF39" w14:textId="51A9274D" w:rsidR="00D8098C" w:rsidRPr="00A1236D" w:rsidRDefault="00165C28"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NA</w:t>
            </w:r>
          </w:p>
        </w:tc>
        <w:tc>
          <w:tcPr>
            <w:tcW w:w="4320" w:type="dxa"/>
          </w:tcPr>
          <w:p w14:paraId="449D40FD" w14:textId="2FB6731C" w:rsidR="00D8098C" w:rsidRDefault="00165C28" w:rsidP="00426603">
            <w:pPr>
              <w:spacing w:beforeLines="40" w:before="96" w:afterLines="40" w:after="96" w:line="24" w:lineRule="atLeast"/>
              <w:rPr>
                <w:rFonts w:eastAsia="Times New Roman"/>
                <w:sz w:val="18"/>
                <w:szCs w:val="18"/>
                <w:lang w:val="en-GB" w:eastAsia="en-GB"/>
              </w:rPr>
            </w:pPr>
            <w:r>
              <w:rPr>
                <w:rFonts w:eastAsia="Times New Roman" w:hint="eastAsia"/>
                <w:sz w:val="18"/>
                <w:szCs w:val="18"/>
                <w:lang w:val="en-GB" w:eastAsia="zh-CN"/>
              </w:rPr>
              <w:t>T</w:t>
            </w:r>
            <w:r w:rsidRPr="00A1236D">
              <w:rPr>
                <w:rFonts w:eastAsia="Times New Roman"/>
                <w:sz w:val="18"/>
                <w:szCs w:val="18"/>
                <w:lang w:val="en-GB" w:eastAsia="en-GB"/>
              </w:rPr>
              <w:t xml:space="preserve">he data sources </w:t>
            </w:r>
            <w:r>
              <w:rPr>
                <w:rFonts w:eastAsia="Times New Roman" w:hint="eastAsia"/>
                <w:sz w:val="18"/>
                <w:szCs w:val="18"/>
                <w:lang w:val="en-GB" w:eastAsia="zh-CN"/>
              </w:rPr>
              <w:t xml:space="preserve">do not </w:t>
            </w:r>
            <w:r w:rsidRPr="00A1236D">
              <w:rPr>
                <w:rFonts w:eastAsia="Times New Roman"/>
                <w:sz w:val="18"/>
                <w:szCs w:val="18"/>
                <w:lang w:val="en-GB" w:eastAsia="en-GB"/>
              </w:rPr>
              <w:t>include meta-analyses of previous studies</w:t>
            </w:r>
          </w:p>
        </w:tc>
      </w:tr>
      <w:tr w:rsidR="00D8098C" w:rsidRPr="00B853C6" w14:paraId="51930A8C" w14:textId="221D5A9E" w:rsidTr="003D447D">
        <w:tc>
          <w:tcPr>
            <w:tcW w:w="587" w:type="dxa"/>
            <w:shd w:val="clear" w:color="auto" w:fill="EEEEEE"/>
          </w:tcPr>
          <w:p w14:paraId="6116DD9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453F7877"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EEEEEE"/>
          </w:tcPr>
          <w:p w14:paraId="2EFD572E" w14:textId="5230C0F8" w:rsidR="00D8098C" w:rsidRPr="00A1236D" w:rsidRDefault="00D8098C" w:rsidP="00426603">
            <w:pPr>
              <w:spacing w:beforeLines="40" w:before="96" w:afterLines="40" w:after="96" w:line="24" w:lineRule="atLeast"/>
              <w:rPr>
                <w:rFonts w:eastAsia="Times New Roman"/>
                <w:sz w:val="18"/>
                <w:szCs w:val="18"/>
                <w:lang w:val="en-GB" w:eastAsia="en-GB"/>
              </w:rPr>
            </w:pPr>
            <w:r w:rsidRPr="009E033F">
              <w:rPr>
                <w:rFonts w:eastAsia="Times New Roman"/>
                <w:sz w:val="18"/>
                <w:szCs w:val="18"/>
                <w:lang w:val="en-GB" w:eastAsia="en-GB"/>
              </w:rPr>
              <w:t xml:space="preserve">For </w:t>
            </w:r>
            <w:r w:rsidRPr="009E033F">
              <w:rPr>
                <w:rFonts w:eastAsia="Times New Roman"/>
                <w:iCs/>
                <w:sz w:val="18"/>
                <w:szCs w:val="18"/>
                <w:lang w:val="en-GB" w:eastAsia="en-GB"/>
              </w:rPr>
              <w:t>two-sample</w:t>
            </w:r>
            <w:r w:rsidRPr="00A1236D">
              <w:rPr>
                <w:rFonts w:eastAsia="Times New Roman"/>
                <w:sz w:val="18"/>
                <w:szCs w:val="18"/>
                <w:lang w:val="en-GB" w:eastAsia="en-GB"/>
              </w:rPr>
              <w:t xml:space="preserve"> </w:t>
            </w:r>
            <w:r w:rsidR="009E033F">
              <w:rPr>
                <w:rFonts w:eastAsia="Times New Roman"/>
                <w:sz w:val="18"/>
                <w:szCs w:val="18"/>
                <w:lang w:val="en-GB" w:eastAsia="en-GB"/>
              </w:rPr>
              <w:t>MR</w:t>
            </w:r>
            <w:r w:rsidRPr="00A1236D">
              <w:rPr>
                <w:rFonts w:eastAsia="Times New Roman"/>
                <w:sz w:val="18"/>
                <w:szCs w:val="18"/>
                <w:lang w:val="en-GB" w:eastAsia="en-GB"/>
              </w:rPr>
              <w:t>:</w:t>
            </w:r>
          </w:p>
          <w:p w14:paraId="48065368"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   </w:t>
            </w:r>
            <w:proofErr w:type="spellStart"/>
            <w:r w:rsidRPr="00A1236D">
              <w:rPr>
                <w:rFonts w:eastAsia="Times New Roman"/>
                <w:sz w:val="18"/>
                <w:szCs w:val="18"/>
                <w:lang w:val="en-GB" w:eastAsia="en-GB"/>
              </w:rPr>
              <w:t>i</w:t>
            </w:r>
            <w:proofErr w:type="spellEnd"/>
            <w:r w:rsidRPr="00A1236D">
              <w:rPr>
                <w:rFonts w:eastAsia="Times New Roman"/>
                <w:sz w:val="18"/>
                <w:szCs w:val="18"/>
                <w:lang w:val="en-GB" w:eastAsia="en-GB"/>
              </w:rPr>
              <w:t>.  Provide justification of the similarity of the genetic variant-exposure associations between the exposure and outcome samples</w:t>
            </w:r>
          </w:p>
          <w:p w14:paraId="35BA9280"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   ii.  Provide information on the number of individuals who overlap between the exposure and outcome studies</w:t>
            </w:r>
          </w:p>
        </w:tc>
        <w:tc>
          <w:tcPr>
            <w:tcW w:w="720" w:type="dxa"/>
            <w:shd w:val="clear" w:color="auto" w:fill="EEEEEE"/>
          </w:tcPr>
          <w:p w14:paraId="4948EE3D" w14:textId="4CE52BF3" w:rsidR="00D8098C" w:rsidRPr="00A1236D" w:rsidRDefault="00165C28"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12</w:t>
            </w:r>
          </w:p>
        </w:tc>
        <w:tc>
          <w:tcPr>
            <w:tcW w:w="4320" w:type="dxa"/>
            <w:shd w:val="clear" w:color="auto" w:fill="EEEEEE"/>
          </w:tcPr>
          <w:p w14:paraId="7FA2E3E7" w14:textId="1B52E3BE" w:rsidR="00165C28" w:rsidRDefault="00165C28" w:rsidP="00426603">
            <w:pPr>
              <w:spacing w:beforeLines="40" w:before="96" w:afterLines="40" w:after="96" w:line="24" w:lineRule="atLeast"/>
              <w:rPr>
                <w:rFonts w:eastAsia="Times New Roman"/>
                <w:sz w:val="18"/>
                <w:szCs w:val="18"/>
                <w:lang w:val="en-GB" w:eastAsia="zh-CN"/>
              </w:rPr>
            </w:pPr>
            <w:proofErr w:type="spellStart"/>
            <w:r>
              <w:rPr>
                <w:rFonts w:eastAsia="Times New Roman" w:hint="eastAsia"/>
                <w:sz w:val="18"/>
                <w:szCs w:val="18"/>
                <w:lang w:val="en-GB" w:eastAsia="zh-CN"/>
              </w:rPr>
              <w:t>i</w:t>
            </w:r>
            <w:proofErr w:type="spellEnd"/>
            <w:r>
              <w:rPr>
                <w:rFonts w:eastAsia="Times New Roman" w:hint="eastAsia"/>
                <w:sz w:val="18"/>
                <w:szCs w:val="18"/>
                <w:lang w:val="en-GB" w:eastAsia="zh-CN"/>
              </w:rPr>
              <w:t xml:space="preserve"> </w:t>
            </w:r>
            <w:proofErr w:type="gramStart"/>
            <w:r w:rsidRPr="00165C28">
              <w:rPr>
                <w:rFonts w:eastAsia="Times New Roman"/>
                <w:sz w:val="18"/>
                <w:szCs w:val="18"/>
                <w:lang w:val="en-GB" w:eastAsia="zh-CN"/>
              </w:rPr>
              <w:t>To</w:t>
            </w:r>
            <w:proofErr w:type="gramEnd"/>
            <w:r w:rsidRPr="00165C28">
              <w:rPr>
                <w:rFonts w:eastAsia="Times New Roman"/>
                <w:sz w:val="18"/>
                <w:szCs w:val="18"/>
                <w:lang w:val="en-GB" w:eastAsia="zh-CN"/>
              </w:rPr>
              <w:t xml:space="preserve"> determine the causal relationship between key module gene expression and MN occurrence, bidirectional Mendelian randomization (MR) was conducted using </w:t>
            </w:r>
            <w:proofErr w:type="spellStart"/>
            <w:r w:rsidRPr="00165C28">
              <w:rPr>
                <w:rFonts w:eastAsia="Times New Roman"/>
                <w:sz w:val="18"/>
                <w:szCs w:val="18"/>
                <w:lang w:val="en-GB" w:eastAsia="zh-CN"/>
              </w:rPr>
              <w:t>eQTL</w:t>
            </w:r>
            <w:proofErr w:type="spellEnd"/>
            <w:r w:rsidRPr="00165C28">
              <w:rPr>
                <w:rFonts w:eastAsia="Times New Roman"/>
                <w:sz w:val="18"/>
                <w:szCs w:val="18"/>
                <w:lang w:val="en-GB" w:eastAsia="zh-CN"/>
              </w:rPr>
              <w:t xml:space="preserve"> data and GWAS summary data from two distinct MN cohorts with varying pedigrees. In the European ancestry discovery cohort, potential associations with MN were identified for 17 genes (Figure 7A). The directional trend of OR values for these candidate genes was observed to persist in the East Asian pedigree validation cohort. </w:t>
            </w:r>
          </w:p>
          <w:p w14:paraId="5B2A1A71" w14:textId="785C5861" w:rsidR="00D8098C" w:rsidRDefault="00165C28"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 xml:space="preserve">ii There is no </w:t>
            </w:r>
            <w:r w:rsidRPr="00A1236D">
              <w:rPr>
                <w:rFonts w:eastAsia="Times New Roman"/>
                <w:sz w:val="18"/>
                <w:szCs w:val="18"/>
                <w:lang w:val="en-GB" w:eastAsia="en-GB"/>
              </w:rPr>
              <w:t>overlap between the exposure and outcome studies</w:t>
            </w:r>
            <w:r>
              <w:rPr>
                <w:rFonts w:eastAsia="Times New Roman" w:hint="eastAsia"/>
                <w:sz w:val="18"/>
                <w:szCs w:val="18"/>
                <w:lang w:val="en-GB" w:eastAsia="zh-CN"/>
              </w:rPr>
              <w:t>.</w:t>
            </w:r>
          </w:p>
        </w:tc>
      </w:tr>
      <w:tr w:rsidR="00D8098C" w:rsidRPr="00B853C6" w14:paraId="52CFCA59" w14:textId="5AC9CE3E" w:rsidTr="003D447D">
        <w:tc>
          <w:tcPr>
            <w:tcW w:w="587" w:type="dxa"/>
            <w:shd w:val="clear" w:color="auto" w:fill="auto"/>
          </w:tcPr>
          <w:p w14:paraId="110872BB"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11</w:t>
            </w:r>
          </w:p>
        </w:tc>
        <w:tc>
          <w:tcPr>
            <w:tcW w:w="1822" w:type="dxa"/>
            <w:shd w:val="clear" w:color="auto" w:fill="auto"/>
          </w:tcPr>
          <w:p w14:paraId="0C26298F"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Main results</w:t>
            </w:r>
          </w:p>
        </w:tc>
        <w:tc>
          <w:tcPr>
            <w:tcW w:w="7041" w:type="dxa"/>
            <w:shd w:val="clear" w:color="auto" w:fill="auto"/>
          </w:tcPr>
          <w:p w14:paraId="2F14FA3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Pr>
          <w:p w14:paraId="035B336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tcPr>
          <w:p w14:paraId="0AFA0083"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56845A2A" w14:textId="1DC0780C" w:rsidTr="003D447D">
        <w:tc>
          <w:tcPr>
            <w:tcW w:w="587" w:type="dxa"/>
            <w:shd w:val="clear" w:color="auto" w:fill="EEEEEE"/>
          </w:tcPr>
          <w:p w14:paraId="0892A548"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7CDB72AD"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14:paraId="09CB478B"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associations between genetic variant and exposure, and between genetic variant and outcome, preferably on an interpretable scale</w:t>
            </w:r>
          </w:p>
        </w:tc>
        <w:tc>
          <w:tcPr>
            <w:tcW w:w="720" w:type="dxa"/>
            <w:shd w:val="clear" w:color="auto" w:fill="EEEEEE"/>
          </w:tcPr>
          <w:p w14:paraId="7F1B8B69" w14:textId="72FB5062" w:rsidR="00D8098C" w:rsidRPr="00A1236D" w:rsidRDefault="00311934"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NA</w:t>
            </w:r>
          </w:p>
        </w:tc>
        <w:tc>
          <w:tcPr>
            <w:tcW w:w="4320" w:type="dxa"/>
            <w:shd w:val="clear" w:color="auto" w:fill="EEEEEE"/>
          </w:tcPr>
          <w:p w14:paraId="7BCA1C07" w14:textId="0FC92F22" w:rsidR="00D8098C" w:rsidRDefault="00EB1612" w:rsidP="00426603">
            <w:pPr>
              <w:spacing w:beforeLines="40" w:before="96" w:afterLines="40" w:after="96" w:line="24" w:lineRule="atLeast"/>
              <w:rPr>
                <w:rFonts w:eastAsia="Times New Roman"/>
                <w:sz w:val="18"/>
                <w:szCs w:val="18"/>
                <w:lang w:val="en-GB" w:eastAsia="zh-CN"/>
              </w:rPr>
            </w:pPr>
            <w:proofErr w:type="spellStart"/>
            <w:r w:rsidRPr="00EB1612">
              <w:rPr>
                <w:rFonts w:eastAsia="Times New Roman"/>
                <w:sz w:val="18"/>
                <w:szCs w:val="18"/>
                <w:lang w:val="en-GB" w:eastAsia="zh-CN"/>
              </w:rPr>
              <w:t>eQTL</w:t>
            </w:r>
            <w:proofErr w:type="spellEnd"/>
            <w:r w:rsidRPr="00EB1612">
              <w:rPr>
                <w:rFonts w:eastAsia="Times New Roman"/>
                <w:sz w:val="18"/>
                <w:szCs w:val="18"/>
                <w:lang w:val="en-GB" w:eastAsia="zh-CN"/>
              </w:rPr>
              <w:t xml:space="preserve"> correlated with gene expression levels</w:t>
            </w:r>
            <w:r>
              <w:rPr>
                <w:rFonts w:eastAsia="Times New Roman" w:hint="eastAsia"/>
                <w:sz w:val="18"/>
                <w:szCs w:val="18"/>
                <w:lang w:val="en-GB" w:eastAsia="zh-CN"/>
              </w:rPr>
              <w:t>.</w:t>
            </w:r>
          </w:p>
        </w:tc>
      </w:tr>
      <w:tr w:rsidR="00D8098C" w:rsidRPr="00B853C6" w14:paraId="2FAEFE68" w14:textId="09D82DE1" w:rsidTr="003D447D">
        <w:tc>
          <w:tcPr>
            <w:tcW w:w="587" w:type="dxa"/>
            <w:shd w:val="clear" w:color="auto" w:fill="auto"/>
          </w:tcPr>
          <w:p w14:paraId="2E83DFB7"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142A3CE2"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auto"/>
          </w:tcPr>
          <w:p w14:paraId="336E75EE" w14:textId="144F95EC" w:rsidR="00D8098C" w:rsidRPr="00A1236D" w:rsidRDefault="00D8098C" w:rsidP="009E033F">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Report MR estimates of the relationship between exposure and outcome, and the measures of uncertainty from the MR analysis, on an interpretable scale, such as odds ratio or relative risk per </w:t>
            </w:r>
            <w:r w:rsidR="009E033F">
              <w:rPr>
                <w:rFonts w:eastAsia="Times New Roman"/>
                <w:sz w:val="18"/>
                <w:szCs w:val="18"/>
                <w:lang w:val="en-GB" w:eastAsia="en-GB"/>
              </w:rPr>
              <w:t>SD</w:t>
            </w:r>
            <w:r w:rsidRPr="00A1236D">
              <w:rPr>
                <w:rFonts w:eastAsia="Times New Roman"/>
                <w:sz w:val="18"/>
                <w:szCs w:val="18"/>
                <w:lang w:val="en-GB" w:eastAsia="en-GB"/>
              </w:rPr>
              <w:t xml:space="preserve"> difference</w:t>
            </w:r>
          </w:p>
        </w:tc>
        <w:tc>
          <w:tcPr>
            <w:tcW w:w="720" w:type="dxa"/>
          </w:tcPr>
          <w:p w14:paraId="1E1B567F" w14:textId="0F486276" w:rsidR="00D8098C" w:rsidRPr="00A1236D" w:rsidRDefault="00D86431"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12</w:t>
            </w:r>
          </w:p>
        </w:tc>
        <w:tc>
          <w:tcPr>
            <w:tcW w:w="4320" w:type="dxa"/>
          </w:tcPr>
          <w:p w14:paraId="4564CEDB" w14:textId="1A46F677" w:rsidR="00D8098C" w:rsidRDefault="00D86431" w:rsidP="00426603">
            <w:pPr>
              <w:spacing w:beforeLines="40" w:before="96" w:afterLines="40" w:after="96" w:line="24" w:lineRule="atLeast"/>
              <w:rPr>
                <w:rFonts w:eastAsia="Times New Roman"/>
                <w:sz w:val="18"/>
                <w:szCs w:val="18"/>
                <w:lang w:val="en-GB" w:eastAsia="en-GB"/>
              </w:rPr>
            </w:pPr>
            <w:r w:rsidRPr="00D86431">
              <w:rPr>
                <w:rFonts w:eastAsia="Times New Roman"/>
                <w:sz w:val="18"/>
                <w:szCs w:val="18"/>
                <w:lang w:val="en-GB" w:eastAsia="en-GB"/>
              </w:rPr>
              <w:t>In the European ancestry discovery cohort, potential associations with MN were identified for 17 genes (Figure 7A). The directional trend of OR values for these candidate genes was observed to persist in the East Asian pedigree validation cohort. However, only SLC1A5 (OR=1.41, p=0.02 in the discovery cohort; OR=1.36, p=0.02 in the validation cohort) and TRIM4 (OR=1.21, p=0.02 in the discovery cohort; OR=1.15, p=0.04 in the validation cohort) maintained statistical significance</w:t>
            </w:r>
          </w:p>
        </w:tc>
      </w:tr>
      <w:tr w:rsidR="00D8098C" w:rsidRPr="00B853C6" w14:paraId="1FAC379E" w14:textId="0C198578" w:rsidTr="003D447D">
        <w:tc>
          <w:tcPr>
            <w:tcW w:w="587" w:type="dxa"/>
            <w:shd w:val="clear" w:color="auto" w:fill="EEEEEE"/>
          </w:tcPr>
          <w:p w14:paraId="6762B88A"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514E8164"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14:paraId="4BC6AB73"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relevant, consider translating estimates of relative risk into absolute risk for a meaningful time period</w:t>
            </w:r>
          </w:p>
        </w:tc>
        <w:tc>
          <w:tcPr>
            <w:tcW w:w="720" w:type="dxa"/>
            <w:shd w:val="clear" w:color="auto" w:fill="EEEEEE"/>
          </w:tcPr>
          <w:p w14:paraId="326BA5CA" w14:textId="2554019E" w:rsidR="00D8098C" w:rsidRPr="00A1236D" w:rsidRDefault="00D86431"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NA</w:t>
            </w:r>
          </w:p>
        </w:tc>
        <w:tc>
          <w:tcPr>
            <w:tcW w:w="4320" w:type="dxa"/>
            <w:shd w:val="clear" w:color="auto" w:fill="EEEEEE"/>
          </w:tcPr>
          <w:p w14:paraId="4A2216FF" w14:textId="6912F460" w:rsidR="00D8098C" w:rsidRDefault="00D422C9"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No relevance.</w:t>
            </w:r>
          </w:p>
        </w:tc>
      </w:tr>
      <w:tr w:rsidR="00D8098C" w:rsidRPr="00B853C6" w14:paraId="00F87C74" w14:textId="30F32A00" w:rsidTr="003D447D">
        <w:tc>
          <w:tcPr>
            <w:tcW w:w="587" w:type="dxa"/>
            <w:shd w:val="clear" w:color="auto" w:fill="auto"/>
          </w:tcPr>
          <w:p w14:paraId="2CDE5DE6"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69C50E8E"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auto"/>
          </w:tcPr>
          <w:p w14:paraId="47CC3ACC"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Consider plots to visualize results (e.g. forest plot, scatterplot of associations between genetic variants and outcome versus between genetic variants and exposure)</w:t>
            </w:r>
          </w:p>
        </w:tc>
        <w:tc>
          <w:tcPr>
            <w:tcW w:w="720" w:type="dxa"/>
          </w:tcPr>
          <w:p w14:paraId="777DAC23" w14:textId="58A088AA" w:rsidR="00D8098C" w:rsidRPr="00A1236D" w:rsidRDefault="00D86431" w:rsidP="00426603">
            <w:pPr>
              <w:spacing w:beforeLines="40" w:before="96" w:afterLines="40" w:after="96" w:line="24" w:lineRule="atLeast"/>
              <w:rPr>
                <w:rFonts w:eastAsia="Times New Roman"/>
                <w:sz w:val="18"/>
                <w:szCs w:val="18"/>
                <w:lang w:val="en-GB" w:eastAsia="zh-CN"/>
              </w:rPr>
            </w:pPr>
            <w:r>
              <w:rPr>
                <w:rFonts w:eastAsia="Times New Roman"/>
                <w:sz w:val="18"/>
                <w:szCs w:val="18"/>
                <w:lang w:val="en-GB" w:eastAsia="zh-CN"/>
              </w:rPr>
              <w:t>F</w:t>
            </w:r>
            <w:r>
              <w:rPr>
                <w:rFonts w:eastAsia="Times New Roman" w:hint="eastAsia"/>
                <w:sz w:val="18"/>
                <w:szCs w:val="18"/>
                <w:lang w:val="en-GB" w:eastAsia="zh-CN"/>
              </w:rPr>
              <w:t>igure7</w:t>
            </w:r>
            <w:r w:rsidR="00AA1671">
              <w:rPr>
                <w:rFonts w:eastAsia="Times New Roman" w:hint="eastAsia"/>
                <w:sz w:val="18"/>
                <w:szCs w:val="18"/>
                <w:lang w:val="en-GB" w:eastAsia="zh-CN"/>
              </w:rPr>
              <w:t>A,7</w:t>
            </w:r>
            <w:r>
              <w:rPr>
                <w:rFonts w:eastAsia="Times New Roman" w:hint="eastAsia"/>
                <w:sz w:val="18"/>
                <w:szCs w:val="18"/>
                <w:lang w:val="en-GB" w:eastAsia="zh-CN"/>
              </w:rPr>
              <w:t>B</w:t>
            </w:r>
          </w:p>
        </w:tc>
        <w:tc>
          <w:tcPr>
            <w:tcW w:w="4320" w:type="dxa"/>
          </w:tcPr>
          <w:p w14:paraId="7B9F0A4D" w14:textId="0143EF22" w:rsidR="00D8098C" w:rsidRDefault="00AA1671" w:rsidP="00426603">
            <w:pPr>
              <w:spacing w:beforeLines="40" w:before="96" w:afterLines="40" w:after="96" w:line="24" w:lineRule="atLeast"/>
              <w:rPr>
                <w:rFonts w:eastAsia="Times New Roman"/>
                <w:sz w:val="18"/>
                <w:szCs w:val="18"/>
                <w:lang w:val="en-GB" w:eastAsia="zh-CN"/>
              </w:rPr>
            </w:pPr>
            <w:r w:rsidRPr="00AA1671">
              <w:rPr>
                <w:rFonts w:eastAsia="Times New Roman"/>
                <w:sz w:val="18"/>
                <w:szCs w:val="18"/>
                <w:lang w:val="en-GB" w:eastAsia="zh-CN"/>
              </w:rPr>
              <w:t>Figure 7 Bidirectional mendelian randomization unveiling potential causal genes of MN in key modules. (A, B) Forest plot illustrating results of mendelian randomization in the discovery and validation cohort.</w:t>
            </w:r>
          </w:p>
        </w:tc>
      </w:tr>
      <w:tr w:rsidR="00D8098C" w:rsidRPr="00B853C6" w14:paraId="62E6DFEA" w14:textId="107C6F5B" w:rsidTr="003D447D">
        <w:tc>
          <w:tcPr>
            <w:tcW w:w="587" w:type="dxa"/>
            <w:shd w:val="clear" w:color="auto" w:fill="EEEEEE"/>
          </w:tcPr>
          <w:p w14:paraId="57CB2789"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12</w:t>
            </w:r>
          </w:p>
        </w:tc>
        <w:tc>
          <w:tcPr>
            <w:tcW w:w="1822" w:type="dxa"/>
            <w:shd w:val="clear" w:color="auto" w:fill="EEEEEE"/>
          </w:tcPr>
          <w:p w14:paraId="27B891DB"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Assessment of assumptions</w:t>
            </w:r>
          </w:p>
        </w:tc>
        <w:tc>
          <w:tcPr>
            <w:tcW w:w="7041" w:type="dxa"/>
            <w:shd w:val="clear" w:color="auto" w:fill="EEEEEE"/>
          </w:tcPr>
          <w:p w14:paraId="6EC050C1"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shd w:val="clear" w:color="auto" w:fill="EEEEEE"/>
          </w:tcPr>
          <w:p w14:paraId="3871A389"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shd w:val="clear" w:color="auto" w:fill="EEEEEE"/>
          </w:tcPr>
          <w:p w14:paraId="10C8ADE2"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48EE0AFA" w14:textId="55C0BF1C" w:rsidTr="003D447D">
        <w:tc>
          <w:tcPr>
            <w:tcW w:w="587" w:type="dxa"/>
            <w:shd w:val="clear" w:color="auto" w:fill="auto"/>
          </w:tcPr>
          <w:p w14:paraId="4E29121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18A8B0EA"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1A97B456"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assessment of the validity of the assumptions</w:t>
            </w:r>
          </w:p>
        </w:tc>
        <w:tc>
          <w:tcPr>
            <w:tcW w:w="720" w:type="dxa"/>
          </w:tcPr>
          <w:p w14:paraId="6E2D56F0" w14:textId="6937F149" w:rsidR="00D8098C" w:rsidRPr="00A1236D" w:rsidRDefault="00673341"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12</w:t>
            </w:r>
          </w:p>
        </w:tc>
        <w:tc>
          <w:tcPr>
            <w:tcW w:w="4320" w:type="dxa"/>
          </w:tcPr>
          <w:p w14:paraId="5E7081D1" w14:textId="3856FF43" w:rsidR="00D8098C" w:rsidRDefault="00673341" w:rsidP="00426603">
            <w:pPr>
              <w:spacing w:beforeLines="40" w:before="96" w:afterLines="40" w:after="96" w:line="24" w:lineRule="atLeast"/>
              <w:rPr>
                <w:rFonts w:eastAsia="Times New Roman"/>
                <w:sz w:val="18"/>
                <w:szCs w:val="18"/>
                <w:lang w:val="en-GB" w:eastAsia="en-GB"/>
              </w:rPr>
            </w:pPr>
            <w:r w:rsidRPr="00673341">
              <w:rPr>
                <w:rFonts w:eastAsia="Times New Roman"/>
                <w:sz w:val="18"/>
                <w:szCs w:val="18"/>
                <w:lang w:val="en-GB" w:eastAsia="en-GB"/>
              </w:rPr>
              <w:t>This supported the use of the IVW approach and suggested a direct causal association between the exposure and outcome. In both cohorts, reverse MR analysis confirmed that gene expression levels caused MN and ruled out reverse causation (Figure S3).</w:t>
            </w:r>
          </w:p>
        </w:tc>
      </w:tr>
      <w:tr w:rsidR="00D8098C" w:rsidRPr="00B853C6" w14:paraId="7BDA55CD" w14:textId="6465618D" w:rsidTr="003D447D">
        <w:tc>
          <w:tcPr>
            <w:tcW w:w="587" w:type="dxa"/>
            <w:shd w:val="clear" w:color="auto" w:fill="EEEEEE"/>
          </w:tcPr>
          <w:p w14:paraId="6F27FA73"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BC0019D"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400ADD58"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Report any additional statistics (e.g., assessments of heterogeneity </w:t>
            </w:r>
            <w:r w:rsidRPr="00A1236D">
              <w:rPr>
                <w:rFonts w:eastAsia="Times New Roman"/>
                <w:sz w:val="18"/>
                <w:szCs w:val="18"/>
                <w:lang w:eastAsia="en-GB"/>
              </w:rPr>
              <w:t>across genetic variants</w:t>
            </w:r>
            <w:r w:rsidRPr="00A1236D">
              <w:rPr>
                <w:rFonts w:eastAsia="Times New Roman"/>
                <w:sz w:val="18"/>
                <w:szCs w:val="18"/>
                <w:lang w:val="en-GB" w:eastAsia="en-GB"/>
              </w:rPr>
              <w:t xml:space="preserve">, such as </w:t>
            </w:r>
            <w:r w:rsidRPr="005A0D0D">
              <w:rPr>
                <w:rFonts w:eastAsia="Times New Roman"/>
                <w:i/>
                <w:sz w:val="18"/>
                <w:szCs w:val="18"/>
                <w:lang w:val="en-GB" w:eastAsia="en-GB"/>
              </w:rPr>
              <w:t>I</w:t>
            </w:r>
            <w:r w:rsidRPr="005A0D0D">
              <w:rPr>
                <w:rFonts w:eastAsia="Times New Roman"/>
                <w:i/>
                <w:sz w:val="18"/>
                <w:szCs w:val="18"/>
                <w:vertAlign w:val="superscript"/>
                <w:lang w:val="en-GB" w:eastAsia="en-GB"/>
              </w:rPr>
              <w:t>2</w:t>
            </w:r>
            <w:r w:rsidRPr="00A1236D">
              <w:rPr>
                <w:rFonts w:eastAsia="Times New Roman"/>
                <w:sz w:val="18"/>
                <w:szCs w:val="18"/>
                <w:lang w:val="en-GB" w:eastAsia="en-GB"/>
              </w:rPr>
              <w:t>, Q statistic or E-value)</w:t>
            </w:r>
          </w:p>
        </w:tc>
        <w:tc>
          <w:tcPr>
            <w:tcW w:w="720" w:type="dxa"/>
            <w:shd w:val="clear" w:color="auto" w:fill="EEEEEE"/>
          </w:tcPr>
          <w:p w14:paraId="2D6E39C6" w14:textId="71B19EBD" w:rsidR="00D8098C" w:rsidRPr="00A1236D" w:rsidRDefault="00673341"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12</w:t>
            </w:r>
          </w:p>
        </w:tc>
        <w:tc>
          <w:tcPr>
            <w:tcW w:w="4320" w:type="dxa"/>
            <w:shd w:val="clear" w:color="auto" w:fill="EEEEEE"/>
          </w:tcPr>
          <w:p w14:paraId="205C4ED8" w14:textId="55C8B2D4" w:rsidR="00D8098C" w:rsidRDefault="00673341" w:rsidP="00426603">
            <w:pPr>
              <w:spacing w:beforeLines="40" w:before="96" w:afterLines="40" w:after="96" w:line="24" w:lineRule="atLeast"/>
              <w:rPr>
                <w:rFonts w:eastAsia="Times New Roman"/>
                <w:sz w:val="18"/>
                <w:szCs w:val="18"/>
                <w:lang w:val="en-GB" w:eastAsia="en-GB"/>
              </w:rPr>
            </w:pPr>
            <w:r w:rsidRPr="00673341">
              <w:rPr>
                <w:rFonts w:eastAsia="Times New Roman"/>
                <w:sz w:val="18"/>
                <w:szCs w:val="18"/>
                <w:lang w:val="en-GB" w:eastAsia="en-GB"/>
              </w:rPr>
              <w:t>The evaluation of heterogeneity and pleiotropy for the two genes, using Q-value and MR-Egger intercept, showed no significance (p&gt;0.05).</w:t>
            </w:r>
          </w:p>
        </w:tc>
      </w:tr>
      <w:tr w:rsidR="00D8098C" w:rsidRPr="00B853C6" w14:paraId="23F1C43D" w14:textId="6396118D" w:rsidTr="003D447D">
        <w:tc>
          <w:tcPr>
            <w:tcW w:w="587" w:type="dxa"/>
            <w:shd w:val="clear" w:color="auto" w:fill="auto"/>
          </w:tcPr>
          <w:p w14:paraId="021A9BB4"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13</w:t>
            </w:r>
          </w:p>
        </w:tc>
        <w:tc>
          <w:tcPr>
            <w:tcW w:w="1822" w:type="dxa"/>
            <w:shd w:val="clear" w:color="auto" w:fill="auto"/>
          </w:tcPr>
          <w:p w14:paraId="51D3F02D"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Sensitivity analyses and additional analyses</w:t>
            </w:r>
          </w:p>
        </w:tc>
        <w:tc>
          <w:tcPr>
            <w:tcW w:w="7041" w:type="dxa"/>
            <w:shd w:val="clear" w:color="auto" w:fill="auto"/>
          </w:tcPr>
          <w:p w14:paraId="4AB1D97F"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Pr>
          <w:p w14:paraId="50481D19"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tcPr>
          <w:p w14:paraId="0F2C43F0"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1ABE2F1D" w14:textId="316B0F58" w:rsidTr="003D447D">
        <w:tc>
          <w:tcPr>
            <w:tcW w:w="587" w:type="dxa"/>
            <w:shd w:val="clear" w:color="auto" w:fill="EEEEEE"/>
          </w:tcPr>
          <w:p w14:paraId="0D022F9B"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7E8FFD0"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14:paraId="30AA9260"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any sensitivity analyses to assess the robustness of the main results to violations of the assumptions</w:t>
            </w:r>
          </w:p>
        </w:tc>
        <w:tc>
          <w:tcPr>
            <w:tcW w:w="720" w:type="dxa"/>
            <w:shd w:val="clear" w:color="auto" w:fill="EEEEEE"/>
          </w:tcPr>
          <w:p w14:paraId="39DB2F0E" w14:textId="0C97A660" w:rsidR="00D8098C" w:rsidRPr="00A1236D" w:rsidRDefault="00673341"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12</w:t>
            </w:r>
          </w:p>
        </w:tc>
        <w:tc>
          <w:tcPr>
            <w:tcW w:w="4320" w:type="dxa"/>
            <w:shd w:val="clear" w:color="auto" w:fill="EEEEEE"/>
          </w:tcPr>
          <w:p w14:paraId="73386906" w14:textId="56B091B8" w:rsidR="00D8098C" w:rsidRDefault="00673341" w:rsidP="00426603">
            <w:pPr>
              <w:spacing w:beforeLines="40" w:before="96" w:afterLines="40" w:after="96" w:line="24" w:lineRule="atLeast"/>
              <w:rPr>
                <w:rFonts w:eastAsia="Times New Roman"/>
                <w:sz w:val="18"/>
                <w:szCs w:val="18"/>
                <w:lang w:val="en-GB" w:eastAsia="en-GB"/>
              </w:rPr>
            </w:pPr>
            <w:r w:rsidRPr="00673341">
              <w:rPr>
                <w:rFonts w:eastAsia="Times New Roman"/>
                <w:sz w:val="18"/>
                <w:szCs w:val="18"/>
                <w:lang w:val="en-GB" w:eastAsia="en-GB"/>
              </w:rPr>
              <w:t>The evaluation of heterogeneity and pleiotropy for the two genes, using Q-value and MR-Egger intercept, showed no significance (p&gt;0.05).</w:t>
            </w:r>
          </w:p>
        </w:tc>
      </w:tr>
      <w:tr w:rsidR="00D8098C" w:rsidRPr="00B853C6" w14:paraId="3696A9F1" w14:textId="63B96DDA" w:rsidTr="003D447D">
        <w:tc>
          <w:tcPr>
            <w:tcW w:w="587" w:type="dxa"/>
            <w:shd w:val="clear" w:color="auto" w:fill="auto"/>
          </w:tcPr>
          <w:p w14:paraId="0D2234E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7453E1FF"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auto"/>
          </w:tcPr>
          <w:p w14:paraId="5111E54D"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results from other sensitivity analyses or additional analyses</w:t>
            </w:r>
          </w:p>
        </w:tc>
        <w:tc>
          <w:tcPr>
            <w:tcW w:w="720" w:type="dxa"/>
          </w:tcPr>
          <w:p w14:paraId="447F5BF5" w14:textId="14FFEF91" w:rsidR="00D8098C" w:rsidRPr="00A1236D" w:rsidRDefault="00673341"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NA</w:t>
            </w:r>
          </w:p>
        </w:tc>
        <w:tc>
          <w:tcPr>
            <w:tcW w:w="4320" w:type="dxa"/>
          </w:tcPr>
          <w:p w14:paraId="5BB83735" w14:textId="3CAD211A" w:rsidR="00D8098C" w:rsidRDefault="00D422C9"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 xml:space="preserve">We do not perform any </w:t>
            </w:r>
            <w:r w:rsidRPr="00A1236D">
              <w:rPr>
                <w:rFonts w:eastAsia="Times New Roman"/>
                <w:sz w:val="18"/>
                <w:szCs w:val="18"/>
                <w:lang w:val="en-GB" w:eastAsia="en-GB"/>
              </w:rPr>
              <w:t>other sensitivity analyses</w:t>
            </w:r>
          </w:p>
        </w:tc>
      </w:tr>
      <w:tr w:rsidR="00D8098C" w:rsidRPr="00B853C6" w14:paraId="1650BAB8" w14:textId="79D11DE7" w:rsidTr="003D447D">
        <w:tc>
          <w:tcPr>
            <w:tcW w:w="587" w:type="dxa"/>
            <w:shd w:val="clear" w:color="auto" w:fill="EEEEEE"/>
          </w:tcPr>
          <w:p w14:paraId="4D025CC4"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EAD995A"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14:paraId="14E0FCD9"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Report any assessment of direction of causal relationship (e.g., bidirectional MR)</w:t>
            </w:r>
          </w:p>
        </w:tc>
        <w:tc>
          <w:tcPr>
            <w:tcW w:w="720" w:type="dxa"/>
            <w:shd w:val="clear" w:color="auto" w:fill="EEEEEE"/>
          </w:tcPr>
          <w:p w14:paraId="03D1A085" w14:textId="366E362C" w:rsidR="00D8098C" w:rsidRPr="00A1236D" w:rsidRDefault="00673341"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12</w:t>
            </w:r>
          </w:p>
        </w:tc>
        <w:tc>
          <w:tcPr>
            <w:tcW w:w="4320" w:type="dxa"/>
            <w:shd w:val="clear" w:color="auto" w:fill="EEEEEE"/>
          </w:tcPr>
          <w:p w14:paraId="66751F07" w14:textId="27946CD8" w:rsidR="00D8098C" w:rsidRDefault="00673341" w:rsidP="00426603">
            <w:pPr>
              <w:spacing w:beforeLines="40" w:before="96" w:afterLines="40" w:after="96" w:line="24" w:lineRule="atLeast"/>
              <w:rPr>
                <w:rFonts w:eastAsia="Times New Roman"/>
                <w:sz w:val="18"/>
                <w:szCs w:val="18"/>
                <w:lang w:val="en-GB" w:eastAsia="en-GB"/>
              </w:rPr>
            </w:pPr>
            <w:r w:rsidRPr="00673341">
              <w:rPr>
                <w:rFonts w:eastAsia="Times New Roman"/>
                <w:sz w:val="18"/>
                <w:szCs w:val="18"/>
                <w:lang w:val="en-GB" w:eastAsia="en-GB"/>
              </w:rPr>
              <w:t>In both cohorts, reverse MR analysis confirmed that gene expression levels caused MN and ruled out reverse causation (Figure S3).</w:t>
            </w:r>
          </w:p>
        </w:tc>
      </w:tr>
      <w:tr w:rsidR="00D8098C" w:rsidRPr="00B853C6" w14:paraId="2034ACF7" w14:textId="19A8CB33" w:rsidTr="003D447D">
        <w:tc>
          <w:tcPr>
            <w:tcW w:w="587" w:type="dxa"/>
            <w:shd w:val="clear" w:color="auto" w:fill="auto"/>
          </w:tcPr>
          <w:p w14:paraId="3217ECE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AE90FE5"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auto"/>
          </w:tcPr>
          <w:p w14:paraId="3A13AF31"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When relevant, report and compare with estimates from non-MR analyses</w:t>
            </w:r>
          </w:p>
        </w:tc>
        <w:tc>
          <w:tcPr>
            <w:tcW w:w="720" w:type="dxa"/>
          </w:tcPr>
          <w:p w14:paraId="528F9F4C" w14:textId="68F8D073" w:rsidR="00D8098C" w:rsidRPr="00A1236D" w:rsidRDefault="00673341"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NA</w:t>
            </w:r>
          </w:p>
        </w:tc>
        <w:tc>
          <w:tcPr>
            <w:tcW w:w="4320" w:type="dxa"/>
          </w:tcPr>
          <w:p w14:paraId="7B882C5B" w14:textId="2F8BBB4D" w:rsidR="00D8098C" w:rsidRDefault="002B501A" w:rsidP="00426603">
            <w:pPr>
              <w:spacing w:beforeLines="40" w:before="96" w:afterLines="40" w:after="96" w:line="24" w:lineRule="atLeast"/>
              <w:rPr>
                <w:rFonts w:eastAsia="Times New Roman"/>
                <w:sz w:val="18"/>
                <w:szCs w:val="18"/>
                <w:lang w:val="en-GB" w:eastAsia="zh-CN"/>
              </w:rPr>
            </w:pPr>
            <w:r w:rsidRPr="002B501A">
              <w:rPr>
                <w:rFonts w:eastAsia="Times New Roman"/>
                <w:sz w:val="18"/>
                <w:szCs w:val="18"/>
                <w:lang w:val="en-GB" w:eastAsia="zh-CN"/>
              </w:rPr>
              <w:t>In this study, our follow-up experiments demonstrated that SLC1A5 was highly expressed in the serum of MN patients</w:t>
            </w:r>
          </w:p>
        </w:tc>
      </w:tr>
      <w:tr w:rsidR="00D8098C" w:rsidRPr="00B853C6" w14:paraId="3E7CFBFC" w14:textId="3F99A047" w:rsidTr="003D447D">
        <w:tc>
          <w:tcPr>
            <w:tcW w:w="587" w:type="dxa"/>
            <w:tcBorders>
              <w:bottom w:val="single" w:sz="6" w:space="0" w:color="7F7F7F"/>
            </w:tcBorders>
            <w:shd w:val="clear" w:color="auto" w:fill="EEEEEE"/>
          </w:tcPr>
          <w:p w14:paraId="1FDC421F"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Borders>
              <w:bottom w:val="single" w:sz="6" w:space="0" w:color="7F7F7F"/>
            </w:tcBorders>
            <w:shd w:val="clear" w:color="auto" w:fill="EEEEEE"/>
          </w:tcPr>
          <w:p w14:paraId="5FE15030"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tcBorders>
              <w:bottom w:val="single" w:sz="6" w:space="0" w:color="7F7F7F"/>
            </w:tcBorders>
            <w:shd w:val="clear" w:color="auto" w:fill="EEEEEE"/>
          </w:tcPr>
          <w:p w14:paraId="61CE32BA"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Consider additional plots to visualize results (e.g., leave-one-out analyses)</w:t>
            </w:r>
          </w:p>
        </w:tc>
        <w:tc>
          <w:tcPr>
            <w:tcW w:w="720" w:type="dxa"/>
            <w:tcBorders>
              <w:bottom w:val="single" w:sz="6" w:space="0" w:color="7F7F7F"/>
            </w:tcBorders>
            <w:shd w:val="clear" w:color="auto" w:fill="EEEEEE"/>
          </w:tcPr>
          <w:p w14:paraId="33892A62" w14:textId="3E9ED092" w:rsidR="00D8098C" w:rsidRPr="00A1236D" w:rsidRDefault="00673341"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NA</w:t>
            </w:r>
          </w:p>
        </w:tc>
        <w:tc>
          <w:tcPr>
            <w:tcW w:w="4320" w:type="dxa"/>
            <w:tcBorders>
              <w:bottom w:val="single" w:sz="6" w:space="0" w:color="7F7F7F"/>
            </w:tcBorders>
            <w:shd w:val="clear" w:color="auto" w:fill="EEEEEE"/>
          </w:tcPr>
          <w:p w14:paraId="03A6AB93" w14:textId="4A76141B" w:rsidR="00D8098C" w:rsidRDefault="002B501A"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We do not perform such visualization.</w:t>
            </w:r>
          </w:p>
        </w:tc>
      </w:tr>
      <w:tr w:rsidR="00D8098C" w:rsidRPr="00B853C6" w14:paraId="5B7D2773" w14:textId="7D8D257A" w:rsidTr="003D447D">
        <w:tc>
          <w:tcPr>
            <w:tcW w:w="587" w:type="dxa"/>
            <w:tcBorders>
              <w:top w:val="single" w:sz="6" w:space="0" w:color="7F7F7F"/>
            </w:tcBorders>
            <w:shd w:val="clear" w:color="auto" w:fill="auto"/>
          </w:tcPr>
          <w:p w14:paraId="5BDBDA65"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1C564B75"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DISCUSSION</w:t>
            </w:r>
          </w:p>
        </w:tc>
        <w:tc>
          <w:tcPr>
            <w:tcW w:w="7041" w:type="dxa"/>
            <w:tcBorders>
              <w:top w:val="single" w:sz="6" w:space="0" w:color="7F7F7F"/>
            </w:tcBorders>
            <w:shd w:val="clear" w:color="auto" w:fill="auto"/>
          </w:tcPr>
          <w:p w14:paraId="35997729"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1AAD7FFB"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2AE3A897"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1800AF05" w14:textId="4BEA2748" w:rsidTr="003D447D">
        <w:tc>
          <w:tcPr>
            <w:tcW w:w="587" w:type="dxa"/>
            <w:shd w:val="clear" w:color="auto" w:fill="EEEEEE"/>
          </w:tcPr>
          <w:p w14:paraId="6B5F5286"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14</w:t>
            </w:r>
          </w:p>
        </w:tc>
        <w:tc>
          <w:tcPr>
            <w:tcW w:w="1822" w:type="dxa"/>
            <w:shd w:val="clear" w:color="auto" w:fill="EEEEEE"/>
          </w:tcPr>
          <w:p w14:paraId="42EDC029"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Key results </w:t>
            </w:r>
          </w:p>
        </w:tc>
        <w:tc>
          <w:tcPr>
            <w:tcW w:w="7041" w:type="dxa"/>
            <w:shd w:val="clear" w:color="auto" w:fill="EEEEEE"/>
          </w:tcPr>
          <w:p w14:paraId="35F1CADF"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Summarize key results with reference to study objectives</w:t>
            </w:r>
          </w:p>
        </w:tc>
        <w:tc>
          <w:tcPr>
            <w:tcW w:w="720" w:type="dxa"/>
            <w:shd w:val="clear" w:color="auto" w:fill="EEEEEE"/>
          </w:tcPr>
          <w:p w14:paraId="2C7117BF" w14:textId="37E8873B" w:rsidR="00D8098C" w:rsidRPr="00A1236D" w:rsidRDefault="00673341"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13</w:t>
            </w:r>
          </w:p>
        </w:tc>
        <w:tc>
          <w:tcPr>
            <w:tcW w:w="4320" w:type="dxa"/>
            <w:shd w:val="clear" w:color="auto" w:fill="EEEEEE"/>
          </w:tcPr>
          <w:p w14:paraId="70F1DDE7" w14:textId="471F2C1D" w:rsidR="00D8098C" w:rsidRDefault="00673341" w:rsidP="00426603">
            <w:pPr>
              <w:spacing w:beforeLines="40" w:before="96" w:afterLines="40" w:after="96" w:line="24" w:lineRule="atLeast"/>
              <w:rPr>
                <w:rFonts w:eastAsia="Times New Roman"/>
                <w:sz w:val="18"/>
                <w:szCs w:val="18"/>
                <w:lang w:val="en-GB" w:eastAsia="en-GB"/>
              </w:rPr>
            </w:pPr>
            <w:r w:rsidRPr="00673341">
              <w:rPr>
                <w:rFonts w:eastAsia="Times New Roman"/>
                <w:sz w:val="18"/>
                <w:szCs w:val="18"/>
                <w:lang w:val="en-GB" w:eastAsia="en-GB"/>
              </w:rPr>
              <w:t>Subsequently, a Mendelian randomization approach was employed to confirm the causal relationship between genes within these molecular sets and the onset of MN, using datasets from European and East Asian populations.</w:t>
            </w:r>
          </w:p>
        </w:tc>
      </w:tr>
      <w:tr w:rsidR="00D8098C" w:rsidRPr="00B853C6" w14:paraId="06BFAFA4" w14:textId="151FB6CE" w:rsidTr="003D447D">
        <w:tc>
          <w:tcPr>
            <w:tcW w:w="587" w:type="dxa"/>
            <w:shd w:val="clear" w:color="auto" w:fill="auto"/>
          </w:tcPr>
          <w:p w14:paraId="6D471CC5"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15</w:t>
            </w:r>
          </w:p>
        </w:tc>
        <w:tc>
          <w:tcPr>
            <w:tcW w:w="1822" w:type="dxa"/>
            <w:shd w:val="clear" w:color="auto" w:fill="auto"/>
          </w:tcPr>
          <w:p w14:paraId="5C27961E"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Limitations</w:t>
            </w:r>
          </w:p>
        </w:tc>
        <w:tc>
          <w:tcPr>
            <w:tcW w:w="7041" w:type="dxa"/>
            <w:shd w:val="clear" w:color="auto" w:fill="auto"/>
          </w:tcPr>
          <w:p w14:paraId="75B6F41B"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Discuss limitations of the study, taking into account the validity of the IV assumptions, other sources of potential bias, and imprecision. Discuss both direction and magnitude of any potential bias and any efforts to address them</w:t>
            </w:r>
            <w:r w:rsidRPr="00A1236D">
              <w:rPr>
                <w:rFonts w:eastAsia="Times New Roman"/>
                <w:sz w:val="18"/>
                <w:szCs w:val="18"/>
                <w:shd w:val="clear" w:color="auto" w:fill="FFFFFF"/>
                <w:lang w:val="en-GB" w:eastAsia="en-GB"/>
              </w:rPr>
              <w:t> </w:t>
            </w:r>
          </w:p>
        </w:tc>
        <w:tc>
          <w:tcPr>
            <w:tcW w:w="720" w:type="dxa"/>
          </w:tcPr>
          <w:p w14:paraId="201D4281" w14:textId="7BC20CC3" w:rsidR="00D8098C" w:rsidRPr="00A1236D" w:rsidRDefault="00673341"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16</w:t>
            </w:r>
          </w:p>
        </w:tc>
        <w:tc>
          <w:tcPr>
            <w:tcW w:w="4320" w:type="dxa"/>
          </w:tcPr>
          <w:p w14:paraId="7CB4BA33" w14:textId="121B0A47" w:rsidR="00D8098C" w:rsidRDefault="00673341" w:rsidP="00426603">
            <w:pPr>
              <w:spacing w:beforeLines="40" w:before="96" w:afterLines="40" w:after="96" w:line="24" w:lineRule="atLeast"/>
              <w:rPr>
                <w:rFonts w:eastAsia="Times New Roman"/>
                <w:sz w:val="18"/>
                <w:szCs w:val="18"/>
                <w:lang w:val="en-GB" w:eastAsia="en-GB"/>
              </w:rPr>
            </w:pPr>
            <w:r w:rsidRPr="00673341">
              <w:rPr>
                <w:rFonts w:eastAsia="Times New Roman"/>
                <w:sz w:val="18"/>
                <w:szCs w:val="18"/>
                <w:lang w:val="en-GB" w:eastAsia="en-GB"/>
              </w:rPr>
              <w:t xml:space="preserve">Additionally, while </w:t>
            </w:r>
            <w:proofErr w:type="spellStart"/>
            <w:r w:rsidRPr="00673341">
              <w:rPr>
                <w:rFonts w:eastAsia="Times New Roman"/>
                <w:sz w:val="18"/>
                <w:szCs w:val="18"/>
                <w:lang w:val="en-GB" w:eastAsia="en-GB"/>
              </w:rPr>
              <w:t>eQTL</w:t>
            </w:r>
            <w:proofErr w:type="spellEnd"/>
            <w:r w:rsidRPr="00673341">
              <w:rPr>
                <w:rFonts w:eastAsia="Times New Roman"/>
                <w:sz w:val="18"/>
                <w:szCs w:val="18"/>
                <w:lang w:val="en-GB" w:eastAsia="en-GB"/>
              </w:rPr>
              <w:t xml:space="preserve"> data from blood and kidney tissues were included, the absence of single-cell level </w:t>
            </w:r>
            <w:proofErr w:type="spellStart"/>
            <w:r w:rsidRPr="00673341">
              <w:rPr>
                <w:rFonts w:eastAsia="Times New Roman"/>
                <w:sz w:val="18"/>
                <w:szCs w:val="18"/>
                <w:lang w:val="en-GB" w:eastAsia="en-GB"/>
              </w:rPr>
              <w:t>eQTL</w:t>
            </w:r>
            <w:proofErr w:type="spellEnd"/>
            <w:r w:rsidRPr="00673341">
              <w:rPr>
                <w:rFonts w:eastAsia="Times New Roman"/>
                <w:sz w:val="18"/>
                <w:szCs w:val="18"/>
                <w:lang w:val="en-GB" w:eastAsia="en-GB"/>
              </w:rPr>
              <w:t xml:space="preserve"> data from kidney tissues </w:t>
            </w:r>
            <w:r w:rsidRPr="00673341">
              <w:rPr>
                <w:rFonts w:eastAsia="Times New Roman"/>
                <w:sz w:val="18"/>
                <w:szCs w:val="18"/>
                <w:lang w:val="en-GB" w:eastAsia="en-GB"/>
              </w:rPr>
              <w:lastRenderedPageBreak/>
              <w:t>limits the accuracy of the Mendelian randomization analysis.</w:t>
            </w:r>
          </w:p>
        </w:tc>
      </w:tr>
      <w:tr w:rsidR="00D8098C" w:rsidRPr="00B853C6" w14:paraId="71F8B8B5" w14:textId="34C247AC" w:rsidTr="003D447D">
        <w:tc>
          <w:tcPr>
            <w:tcW w:w="587" w:type="dxa"/>
            <w:shd w:val="clear" w:color="auto" w:fill="EEEEEE"/>
          </w:tcPr>
          <w:p w14:paraId="02C1D590"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16</w:t>
            </w:r>
          </w:p>
        </w:tc>
        <w:tc>
          <w:tcPr>
            <w:tcW w:w="1822" w:type="dxa"/>
            <w:shd w:val="clear" w:color="auto" w:fill="EEEEEE"/>
          </w:tcPr>
          <w:p w14:paraId="612AA484"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Interpretation</w:t>
            </w:r>
          </w:p>
        </w:tc>
        <w:tc>
          <w:tcPr>
            <w:tcW w:w="7041" w:type="dxa"/>
            <w:shd w:val="clear" w:color="auto" w:fill="EEEEEE"/>
          </w:tcPr>
          <w:p w14:paraId="3BF6466E"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shd w:val="clear" w:color="auto" w:fill="EEEEEE"/>
          </w:tcPr>
          <w:p w14:paraId="4B5179B2"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shd w:val="clear" w:color="auto" w:fill="EEEEEE"/>
          </w:tcPr>
          <w:p w14:paraId="1C445080"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62E6D51A" w14:textId="140D03A2" w:rsidTr="003D447D">
        <w:tc>
          <w:tcPr>
            <w:tcW w:w="587" w:type="dxa"/>
            <w:shd w:val="clear" w:color="auto" w:fill="auto"/>
          </w:tcPr>
          <w:p w14:paraId="6DD2F448"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0F26A29"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7EDF9868" w14:textId="096ED659" w:rsidR="00D8098C" w:rsidRPr="00A1236D" w:rsidRDefault="00D8098C" w:rsidP="00685D31">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Meaning: Give a cautious overall interpretation of results in the context of their limitations </w:t>
            </w:r>
            <w:proofErr w:type="gramStart"/>
            <w:r w:rsidRPr="00A1236D">
              <w:rPr>
                <w:rFonts w:eastAsia="Times New Roman"/>
                <w:sz w:val="18"/>
                <w:szCs w:val="18"/>
                <w:lang w:val="en-GB" w:eastAsia="en-GB"/>
              </w:rPr>
              <w:t xml:space="preserve">and in comparison </w:t>
            </w:r>
            <w:proofErr w:type="gramEnd"/>
            <w:r w:rsidR="00685D31">
              <w:rPr>
                <w:rFonts w:eastAsia="Times New Roman"/>
                <w:sz w:val="18"/>
                <w:szCs w:val="18"/>
                <w:lang w:val="en-GB" w:eastAsia="en-GB"/>
              </w:rPr>
              <w:t>with</w:t>
            </w:r>
            <w:r w:rsidRPr="00A1236D">
              <w:rPr>
                <w:rFonts w:eastAsia="Times New Roman"/>
                <w:sz w:val="18"/>
                <w:szCs w:val="18"/>
                <w:lang w:val="en-GB" w:eastAsia="en-GB"/>
              </w:rPr>
              <w:t xml:space="preserve"> other studies</w:t>
            </w:r>
          </w:p>
        </w:tc>
        <w:tc>
          <w:tcPr>
            <w:tcW w:w="720" w:type="dxa"/>
          </w:tcPr>
          <w:p w14:paraId="565CC165" w14:textId="03ABEB78" w:rsidR="00D8098C" w:rsidRPr="00A1236D" w:rsidRDefault="007671E5"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14</w:t>
            </w:r>
          </w:p>
        </w:tc>
        <w:tc>
          <w:tcPr>
            <w:tcW w:w="4320" w:type="dxa"/>
          </w:tcPr>
          <w:p w14:paraId="5251245C" w14:textId="5153DF26" w:rsidR="00D8098C" w:rsidRDefault="007671E5" w:rsidP="00426603">
            <w:pPr>
              <w:spacing w:beforeLines="40" w:before="96" w:afterLines="40" w:after="96" w:line="24" w:lineRule="atLeast"/>
              <w:rPr>
                <w:rFonts w:eastAsia="Times New Roman"/>
                <w:sz w:val="18"/>
                <w:szCs w:val="18"/>
                <w:lang w:val="en-GB" w:eastAsia="en-GB"/>
              </w:rPr>
            </w:pPr>
            <w:r w:rsidRPr="007671E5">
              <w:rPr>
                <w:rFonts w:eastAsia="Times New Roman"/>
                <w:sz w:val="18"/>
                <w:szCs w:val="18"/>
                <w:lang w:val="en-GB" w:eastAsia="en-GB"/>
              </w:rPr>
              <w:t>The study ultimately identified SLC1A5, derived from endothelial cells, as a key gene in MN progression. Validation through 81 serum samples demonstrated that elevated expression of the SLC1A5 protein in MN patients’ serum significantly correlated with urinary protein levels, suggesting that SLC1A5 could serve as a potential diagnostic biomarker and therapeutic target for MN.</w:t>
            </w:r>
          </w:p>
        </w:tc>
      </w:tr>
      <w:tr w:rsidR="00D8098C" w:rsidRPr="00B853C6" w14:paraId="156B69E5" w14:textId="453FC5BE" w:rsidTr="003D447D">
        <w:tc>
          <w:tcPr>
            <w:tcW w:w="587" w:type="dxa"/>
            <w:shd w:val="clear" w:color="auto" w:fill="EEEEEE"/>
          </w:tcPr>
          <w:p w14:paraId="4C8A221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A4A5F16"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422EB891" w14:textId="35DEA636"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Mechanism: Discuss underlying biological mechanisms that could drive a potential causal relationship between the investigated exposure and the outcome, and whether the gene-environment equivalence assumption is reasonable. Use causal language carefully, clarifying that IV estimates may provide causal effects </w:t>
            </w:r>
            <w:r w:rsidR="00ED48A3">
              <w:rPr>
                <w:rFonts w:eastAsia="Times New Roman"/>
                <w:sz w:val="18"/>
                <w:szCs w:val="18"/>
                <w:lang w:val="en-GB" w:eastAsia="en-GB"/>
              </w:rPr>
              <w:t xml:space="preserve">only </w:t>
            </w:r>
            <w:r w:rsidRPr="00A1236D">
              <w:rPr>
                <w:rFonts w:eastAsia="Times New Roman"/>
                <w:sz w:val="18"/>
                <w:szCs w:val="18"/>
                <w:lang w:val="en-GB" w:eastAsia="en-GB"/>
              </w:rPr>
              <w:t xml:space="preserve">under certain assumptions </w:t>
            </w:r>
          </w:p>
        </w:tc>
        <w:tc>
          <w:tcPr>
            <w:tcW w:w="720" w:type="dxa"/>
            <w:shd w:val="clear" w:color="auto" w:fill="EEEEEE"/>
          </w:tcPr>
          <w:p w14:paraId="2FA4AA4D" w14:textId="2824A555" w:rsidR="00D8098C" w:rsidRPr="00A1236D" w:rsidRDefault="007671E5"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15</w:t>
            </w:r>
          </w:p>
        </w:tc>
        <w:tc>
          <w:tcPr>
            <w:tcW w:w="4320" w:type="dxa"/>
            <w:shd w:val="clear" w:color="auto" w:fill="EEEEEE"/>
          </w:tcPr>
          <w:p w14:paraId="3A91F000" w14:textId="1C2456F9" w:rsidR="00D8098C" w:rsidRDefault="007671E5" w:rsidP="00426603">
            <w:pPr>
              <w:spacing w:beforeLines="40" w:before="96" w:afterLines="40" w:after="96" w:line="24" w:lineRule="atLeast"/>
              <w:rPr>
                <w:rFonts w:eastAsia="Times New Roman"/>
                <w:sz w:val="18"/>
                <w:szCs w:val="18"/>
                <w:lang w:val="en-GB" w:eastAsia="en-GB"/>
              </w:rPr>
            </w:pPr>
            <w:r w:rsidRPr="007671E5">
              <w:rPr>
                <w:rFonts w:eastAsia="Times New Roman"/>
                <w:sz w:val="18"/>
                <w:szCs w:val="18"/>
                <w:lang w:val="en-GB" w:eastAsia="en-GB"/>
              </w:rPr>
              <w:t>In conclusion, SLC1A5-mediated ferroptosis in endothelial cells could result in cytokine release and morphological changes that disrupt the filtration barrier, potentially exposing podocyte antigens and facilitating autoantibody deposition, ultimately triggering MN.</w:t>
            </w:r>
          </w:p>
        </w:tc>
      </w:tr>
      <w:tr w:rsidR="00D8098C" w:rsidRPr="00B853C6" w14:paraId="203390A0" w14:textId="367D17C4" w:rsidTr="003D447D">
        <w:tc>
          <w:tcPr>
            <w:tcW w:w="587" w:type="dxa"/>
            <w:shd w:val="clear" w:color="auto" w:fill="auto"/>
          </w:tcPr>
          <w:p w14:paraId="54CA3A27"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6D25BA57"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auto"/>
          </w:tcPr>
          <w:p w14:paraId="5B6A8315" w14:textId="77777777" w:rsidR="00D8098C" w:rsidRPr="00A1236D" w:rsidRDefault="00D8098C" w:rsidP="00426603">
            <w:pPr>
              <w:tabs>
                <w:tab w:val="left" w:pos="1350"/>
              </w:tabs>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Clinical relevance: Discuss whether the results have clinical or public policy relevance, and </w:t>
            </w:r>
            <w:r w:rsidRPr="00A1236D">
              <w:rPr>
                <w:rFonts w:eastAsia="Times New Roman"/>
                <w:color w:val="000000"/>
                <w:sz w:val="18"/>
                <w:szCs w:val="18"/>
                <w:lang w:eastAsia="en-GB"/>
              </w:rPr>
              <w:t>to what extent they inform effect sizes of possible interventions</w:t>
            </w:r>
          </w:p>
        </w:tc>
        <w:tc>
          <w:tcPr>
            <w:tcW w:w="720" w:type="dxa"/>
          </w:tcPr>
          <w:p w14:paraId="32FCF028" w14:textId="010F45C4" w:rsidR="00D8098C" w:rsidRPr="00A1236D" w:rsidRDefault="007671E5" w:rsidP="00426603">
            <w:pPr>
              <w:tabs>
                <w:tab w:val="left" w:pos="1350"/>
              </w:tabs>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15</w:t>
            </w:r>
          </w:p>
        </w:tc>
        <w:tc>
          <w:tcPr>
            <w:tcW w:w="4320" w:type="dxa"/>
          </w:tcPr>
          <w:p w14:paraId="78058AE6" w14:textId="28F1C1B7" w:rsidR="00D8098C" w:rsidRDefault="007671E5" w:rsidP="00426603">
            <w:pPr>
              <w:tabs>
                <w:tab w:val="left" w:pos="1350"/>
              </w:tabs>
              <w:spacing w:beforeLines="40" w:before="96" w:afterLines="40" w:after="96" w:line="24" w:lineRule="atLeast"/>
              <w:rPr>
                <w:rFonts w:eastAsia="Times New Roman"/>
                <w:sz w:val="18"/>
                <w:szCs w:val="18"/>
                <w:lang w:val="en-GB" w:eastAsia="en-GB"/>
              </w:rPr>
            </w:pPr>
            <w:r w:rsidRPr="007671E5">
              <w:rPr>
                <w:rFonts w:eastAsia="Times New Roman"/>
                <w:sz w:val="18"/>
                <w:szCs w:val="18"/>
                <w:lang w:val="en-GB" w:eastAsia="en-GB"/>
              </w:rPr>
              <w:t>Furthermore, elevated serum SLC1A5 protein expression in MN patients correlates significantly with urinary protein levels, indicating its potential as a diagnostic biomarker and monitor for disease progression.</w:t>
            </w:r>
          </w:p>
        </w:tc>
      </w:tr>
      <w:tr w:rsidR="00D8098C" w:rsidRPr="00B853C6" w14:paraId="71FDAFC1" w14:textId="00A47F15" w:rsidTr="003D447D">
        <w:tc>
          <w:tcPr>
            <w:tcW w:w="587" w:type="dxa"/>
            <w:tcBorders>
              <w:bottom w:val="single" w:sz="6" w:space="0" w:color="7F7F7F"/>
            </w:tcBorders>
            <w:shd w:val="clear" w:color="auto" w:fill="EEEEEE"/>
          </w:tcPr>
          <w:p w14:paraId="7540155A"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17</w:t>
            </w:r>
          </w:p>
        </w:tc>
        <w:tc>
          <w:tcPr>
            <w:tcW w:w="1822" w:type="dxa"/>
            <w:tcBorders>
              <w:bottom w:val="single" w:sz="6" w:space="0" w:color="7F7F7F"/>
            </w:tcBorders>
            <w:shd w:val="clear" w:color="auto" w:fill="EEEEEE"/>
          </w:tcPr>
          <w:p w14:paraId="3680059F"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 xml:space="preserve">Generalizability  </w:t>
            </w:r>
            <w:r w:rsidRPr="00F0337F">
              <w:rPr>
                <w:rFonts w:eastAsia="Times New Roman"/>
                <w:sz w:val="18"/>
                <w:szCs w:val="18"/>
                <w:lang w:val="en-GB" w:eastAsia="en-GB"/>
              </w:rPr>
              <w:t> </w:t>
            </w:r>
          </w:p>
        </w:tc>
        <w:tc>
          <w:tcPr>
            <w:tcW w:w="7041" w:type="dxa"/>
            <w:tcBorders>
              <w:bottom w:val="single" w:sz="6" w:space="0" w:color="7F7F7F"/>
            </w:tcBorders>
            <w:shd w:val="clear" w:color="auto" w:fill="EEEEEE"/>
          </w:tcPr>
          <w:p w14:paraId="68647C33"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Discuss the generalizability of the study results (a) to other populations, (b) across other exposure periods/timings, and (c) across other levels of exposure</w:t>
            </w:r>
          </w:p>
        </w:tc>
        <w:tc>
          <w:tcPr>
            <w:tcW w:w="720" w:type="dxa"/>
            <w:tcBorders>
              <w:bottom w:val="single" w:sz="6" w:space="0" w:color="7F7F7F"/>
            </w:tcBorders>
            <w:shd w:val="clear" w:color="auto" w:fill="EEEEEE"/>
          </w:tcPr>
          <w:p w14:paraId="3ACD3D08" w14:textId="740D3CF4" w:rsidR="00D8098C" w:rsidRPr="00A1236D" w:rsidRDefault="007671E5"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NA</w:t>
            </w:r>
          </w:p>
        </w:tc>
        <w:tc>
          <w:tcPr>
            <w:tcW w:w="4320" w:type="dxa"/>
            <w:tcBorders>
              <w:bottom w:val="single" w:sz="6" w:space="0" w:color="7F7F7F"/>
            </w:tcBorders>
            <w:shd w:val="clear" w:color="auto" w:fill="EEEEEE"/>
          </w:tcPr>
          <w:p w14:paraId="41ABF5A9" w14:textId="2C1C11FB" w:rsidR="00D8098C" w:rsidRDefault="007671E5" w:rsidP="00426603">
            <w:pPr>
              <w:spacing w:beforeLines="40" w:before="96" w:afterLines="40" w:after="96" w:line="24" w:lineRule="atLeast"/>
              <w:rPr>
                <w:rFonts w:eastAsia="Times New Roman"/>
                <w:sz w:val="18"/>
                <w:szCs w:val="18"/>
                <w:lang w:val="en-GB" w:eastAsia="zh-CN"/>
              </w:rPr>
            </w:pPr>
            <w:r w:rsidRPr="007671E5">
              <w:rPr>
                <w:rFonts w:eastAsia="Times New Roman"/>
                <w:sz w:val="18"/>
                <w:szCs w:val="18"/>
                <w:lang w:val="en-GB" w:eastAsia="en-GB"/>
              </w:rPr>
              <w:t>We found this association in two different ethnic cohorts</w:t>
            </w:r>
            <w:r>
              <w:rPr>
                <w:rFonts w:eastAsia="Times New Roman" w:hint="eastAsia"/>
                <w:sz w:val="18"/>
                <w:szCs w:val="18"/>
                <w:lang w:val="en-GB" w:eastAsia="zh-CN"/>
              </w:rPr>
              <w:t>.</w:t>
            </w:r>
          </w:p>
        </w:tc>
      </w:tr>
      <w:tr w:rsidR="00D8098C" w:rsidRPr="00B853C6" w14:paraId="57884E75" w14:textId="6FD41AE6" w:rsidTr="003D447D">
        <w:tc>
          <w:tcPr>
            <w:tcW w:w="587" w:type="dxa"/>
            <w:tcBorders>
              <w:top w:val="single" w:sz="6" w:space="0" w:color="7F7F7F"/>
            </w:tcBorders>
            <w:shd w:val="clear" w:color="auto" w:fill="auto"/>
          </w:tcPr>
          <w:p w14:paraId="2C4C694A"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0A6FFE33"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OTHER INFORMATION</w:t>
            </w:r>
          </w:p>
        </w:tc>
        <w:tc>
          <w:tcPr>
            <w:tcW w:w="7041" w:type="dxa"/>
            <w:tcBorders>
              <w:top w:val="single" w:sz="6" w:space="0" w:color="7F7F7F"/>
            </w:tcBorders>
            <w:shd w:val="clear" w:color="auto" w:fill="auto"/>
          </w:tcPr>
          <w:p w14:paraId="0577947E" w14:textId="77777777" w:rsidR="00D8098C" w:rsidRPr="00F0337F"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7561574C" w14:textId="77777777" w:rsidR="00D8098C" w:rsidRPr="00F0337F"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3718ED5B"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0014C6D1" w14:textId="2FC4D004" w:rsidTr="003D447D">
        <w:tc>
          <w:tcPr>
            <w:tcW w:w="587" w:type="dxa"/>
            <w:shd w:val="clear" w:color="auto" w:fill="EEEEEE"/>
          </w:tcPr>
          <w:p w14:paraId="2336D08C"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18</w:t>
            </w:r>
          </w:p>
        </w:tc>
        <w:tc>
          <w:tcPr>
            <w:tcW w:w="1822" w:type="dxa"/>
            <w:shd w:val="clear" w:color="auto" w:fill="EEEEEE"/>
          </w:tcPr>
          <w:p w14:paraId="08EB4FDF"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Funding</w:t>
            </w:r>
          </w:p>
        </w:tc>
        <w:tc>
          <w:tcPr>
            <w:tcW w:w="7041" w:type="dxa"/>
            <w:shd w:val="clear" w:color="auto" w:fill="EEEEEE"/>
          </w:tcPr>
          <w:p w14:paraId="4663DCA7"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Describe sources of funding and the role of funders in the present study and, if applicable, sources of funding for the databases and original study or studies on which the present study is based</w:t>
            </w:r>
          </w:p>
        </w:tc>
        <w:tc>
          <w:tcPr>
            <w:tcW w:w="720" w:type="dxa"/>
            <w:shd w:val="clear" w:color="auto" w:fill="EEEEEE"/>
          </w:tcPr>
          <w:p w14:paraId="33E2D855" w14:textId="0A213772" w:rsidR="00D8098C" w:rsidRPr="00F0337F" w:rsidRDefault="002B457A" w:rsidP="00426603">
            <w:pPr>
              <w:spacing w:beforeLines="40" w:before="96" w:afterLines="40" w:after="96" w:line="24" w:lineRule="atLeast"/>
              <w:rPr>
                <w:rFonts w:eastAsia="Times New Roman" w:hint="eastAsia"/>
                <w:sz w:val="18"/>
                <w:szCs w:val="18"/>
                <w:lang w:val="en-GB" w:eastAsia="zh-CN"/>
              </w:rPr>
            </w:pPr>
            <w:r>
              <w:rPr>
                <w:rFonts w:eastAsia="Times New Roman" w:hint="eastAsia"/>
                <w:sz w:val="18"/>
                <w:szCs w:val="18"/>
                <w:lang w:val="en-GB" w:eastAsia="zh-CN"/>
              </w:rPr>
              <w:t>1</w:t>
            </w:r>
            <w:r>
              <w:rPr>
                <w:rFonts w:eastAsia="Times New Roman"/>
                <w:sz w:val="18"/>
                <w:szCs w:val="18"/>
                <w:lang w:val="en-GB" w:eastAsia="zh-CN"/>
              </w:rPr>
              <w:t>6</w:t>
            </w:r>
          </w:p>
        </w:tc>
        <w:tc>
          <w:tcPr>
            <w:tcW w:w="4320" w:type="dxa"/>
            <w:shd w:val="clear" w:color="auto" w:fill="EEEEEE"/>
          </w:tcPr>
          <w:p w14:paraId="2C6CE5FF" w14:textId="3B0CC531" w:rsidR="00D8098C" w:rsidRDefault="00EF0859" w:rsidP="00426603">
            <w:pPr>
              <w:spacing w:beforeLines="40" w:before="96" w:afterLines="40" w:after="96" w:line="24" w:lineRule="atLeast"/>
              <w:rPr>
                <w:rFonts w:eastAsia="Times New Roman"/>
                <w:sz w:val="18"/>
                <w:szCs w:val="18"/>
                <w:lang w:val="en-GB" w:eastAsia="en-GB"/>
              </w:rPr>
            </w:pPr>
            <w:r w:rsidRPr="00EF0859">
              <w:rPr>
                <w:rFonts w:eastAsia="Times New Roman"/>
                <w:sz w:val="18"/>
                <w:szCs w:val="18"/>
                <w:lang w:val="en-GB" w:eastAsia="en-GB"/>
              </w:rPr>
              <w:t>This work was supported by Science Foundation of Jiangsu Province Grant BK20240371 and BK2023119; Science and Technology Project of Suzhou SKY2022141; National Science Foundation of China Grants 81700589 and 81901632.</w:t>
            </w:r>
          </w:p>
        </w:tc>
      </w:tr>
      <w:tr w:rsidR="00D8098C" w:rsidRPr="00B853C6" w14:paraId="1B22CB41" w14:textId="102364C9" w:rsidTr="003D447D">
        <w:tc>
          <w:tcPr>
            <w:tcW w:w="587" w:type="dxa"/>
            <w:shd w:val="clear" w:color="auto" w:fill="auto"/>
          </w:tcPr>
          <w:p w14:paraId="381BF2BA"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19</w:t>
            </w:r>
          </w:p>
        </w:tc>
        <w:tc>
          <w:tcPr>
            <w:tcW w:w="1822" w:type="dxa"/>
            <w:shd w:val="clear" w:color="auto" w:fill="auto"/>
          </w:tcPr>
          <w:p w14:paraId="233BA942"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Data and data sharing </w:t>
            </w:r>
          </w:p>
        </w:tc>
        <w:tc>
          <w:tcPr>
            <w:tcW w:w="7041" w:type="dxa"/>
            <w:shd w:val="clear" w:color="auto" w:fill="auto"/>
          </w:tcPr>
          <w:p w14:paraId="42D9085E"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 xml:space="preserve">Provide the data used to perform all analyses or report where and how the data can be accessed, and reference these sources in the </w:t>
            </w:r>
            <w:r>
              <w:rPr>
                <w:rFonts w:eastAsia="Times New Roman"/>
                <w:sz w:val="18"/>
                <w:szCs w:val="18"/>
                <w:lang w:val="en-GB" w:eastAsia="en-GB"/>
              </w:rPr>
              <w:t>article</w:t>
            </w:r>
            <w:r w:rsidRPr="00F0337F">
              <w:rPr>
                <w:rFonts w:eastAsia="Times New Roman"/>
                <w:sz w:val="18"/>
                <w:szCs w:val="18"/>
                <w:lang w:val="en-GB" w:eastAsia="en-GB"/>
              </w:rPr>
              <w:t xml:space="preserve">. Provide the statistical code needed to </w:t>
            </w:r>
            <w:r>
              <w:rPr>
                <w:rFonts w:eastAsia="Times New Roman"/>
                <w:sz w:val="18"/>
                <w:szCs w:val="18"/>
                <w:lang w:val="en-GB" w:eastAsia="en-GB"/>
              </w:rPr>
              <w:t>reproduce the results</w:t>
            </w:r>
            <w:r w:rsidRPr="00F0337F">
              <w:rPr>
                <w:rFonts w:eastAsia="Times New Roman"/>
                <w:sz w:val="18"/>
                <w:szCs w:val="18"/>
                <w:lang w:val="en-GB" w:eastAsia="en-GB"/>
              </w:rPr>
              <w:t xml:space="preserve"> in the </w:t>
            </w:r>
            <w:r>
              <w:rPr>
                <w:rFonts w:eastAsia="Times New Roman"/>
                <w:sz w:val="18"/>
                <w:szCs w:val="18"/>
                <w:lang w:val="en-GB" w:eastAsia="en-GB"/>
              </w:rPr>
              <w:t>article</w:t>
            </w:r>
            <w:r w:rsidRPr="00F0337F">
              <w:rPr>
                <w:rFonts w:eastAsia="Times New Roman"/>
                <w:sz w:val="18"/>
                <w:szCs w:val="18"/>
                <w:lang w:val="en-GB" w:eastAsia="en-GB"/>
              </w:rPr>
              <w:t>, or report whether the code is publicly accessible and if so, where</w:t>
            </w:r>
          </w:p>
        </w:tc>
        <w:tc>
          <w:tcPr>
            <w:tcW w:w="720" w:type="dxa"/>
          </w:tcPr>
          <w:p w14:paraId="5725EE6D" w14:textId="6954165D" w:rsidR="00D8098C" w:rsidRPr="00F0337F" w:rsidRDefault="007671E5" w:rsidP="00426603">
            <w:pPr>
              <w:spacing w:beforeLines="40" w:before="96" w:afterLines="40" w:after="96" w:line="24" w:lineRule="atLeast"/>
              <w:rPr>
                <w:rFonts w:eastAsia="Times New Roman"/>
                <w:sz w:val="18"/>
                <w:szCs w:val="18"/>
                <w:lang w:val="en-GB" w:eastAsia="zh-CN"/>
              </w:rPr>
            </w:pPr>
            <w:r>
              <w:rPr>
                <w:rFonts w:eastAsia="Times New Roman" w:hint="eastAsia"/>
                <w:sz w:val="18"/>
                <w:szCs w:val="18"/>
                <w:lang w:val="en-GB" w:eastAsia="zh-CN"/>
              </w:rPr>
              <w:t>NA</w:t>
            </w:r>
          </w:p>
        </w:tc>
        <w:tc>
          <w:tcPr>
            <w:tcW w:w="4320" w:type="dxa"/>
          </w:tcPr>
          <w:p w14:paraId="38DE3AA7" w14:textId="155E7BA5" w:rsidR="00D8098C" w:rsidRDefault="007671E5" w:rsidP="00426603">
            <w:pPr>
              <w:spacing w:beforeLines="40" w:before="96" w:afterLines="40" w:after="96" w:line="24" w:lineRule="atLeast"/>
              <w:rPr>
                <w:rFonts w:eastAsia="Times New Roman"/>
                <w:sz w:val="18"/>
                <w:szCs w:val="18"/>
                <w:lang w:val="en-GB" w:eastAsia="zh-CN"/>
              </w:rPr>
            </w:pPr>
            <w:r w:rsidRPr="00190DE0">
              <w:rPr>
                <w:rFonts w:eastAsia="Times New Roman"/>
                <w:sz w:val="18"/>
                <w:szCs w:val="18"/>
                <w:shd w:val="clear" w:color="auto" w:fill="FFFFFF"/>
                <w:lang w:val="en-GB" w:eastAsia="en-GB"/>
              </w:rPr>
              <w:t xml:space="preserve">To investigate the causal relationship between module gene expression and MN, we conducted a bidirectional Mendelian Randomization (MR) analysis using the </w:t>
            </w:r>
            <w:proofErr w:type="spellStart"/>
            <w:r w:rsidRPr="00190DE0">
              <w:rPr>
                <w:rFonts w:eastAsia="Times New Roman"/>
                <w:sz w:val="18"/>
                <w:szCs w:val="18"/>
                <w:shd w:val="clear" w:color="auto" w:fill="FFFFFF"/>
                <w:lang w:val="en-GB" w:eastAsia="en-GB"/>
              </w:rPr>
              <w:t>TwoSampleMR</w:t>
            </w:r>
            <w:proofErr w:type="spellEnd"/>
            <w:r w:rsidRPr="00190DE0">
              <w:rPr>
                <w:rFonts w:eastAsia="Times New Roman"/>
                <w:sz w:val="18"/>
                <w:szCs w:val="18"/>
                <w:shd w:val="clear" w:color="auto" w:fill="FFFFFF"/>
                <w:lang w:val="en-GB" w:eastAsia="en-GB"/>
              </w:rPr>
              <w:t xml:space="preserve"> package (version 0.5.7). </w:t>
            </w:r>
            <w:proofErr w:type="spellStart"/>
            <w:r w:rsidRPr="00190DE0">
              <w:rPr>
                <w:rFonts w:eastAsia="Times New Roman"/>
                <w:sz w:val="18"/>
                <w:szCs w:val="18"/>
                <w:shd w:val="clear" w:color="auto" w:fill="FFFFFF"/>
                <w:lang w:val="en-GB" w:eastAsia="en-GB"/>
              </w:rPr>
              <w:t>eQTL</w:t>
            </w:r>
            <w:proofErr w:type="spellEnd"/>
            <w:r w:rsidRPr="00190DE0">
              <w:rPr>
                <w:rFonts w:eastAsia="Times New Roman"/>
                <w:sz w:val="18"/>
                <w:szCs w:val="18"/>
                <w:shd w:val="clear" w:color="auto" w:fill="FFFFFF"/>
                <w:lang w:val="en-GB" w:eastAsia="en-GB"/>
              </w:rPr>
              <w:t xml:space="preserve"> data were obtained from the IEU </w:t>
            </w:r>
            <w:proofErr w:type="spellStart"/>
            <w:r w:rsidRPr="00190DE0">
              <w:rPr>
                <w:rFonts w:eastAsia="Times New Roman"/>
                <w:sz w:val="18"/>
                <w:szCs w:val="18"/>
                <w:shd w:val="clear" w:color="auto" w:fill="FFFFFF"/>
                <w:lang w:val="en-GB" w:eastAsia="en-GB"/>
              </w:rPr>
              <w:t>OpenGWAS</w:t>
            </w:r>
            <w:proofErr w:type="spellEnd"/>
            <w:r w:rsidRPr="00190DE0">
              <w:rPr>
                <w:rFonts w:eastAsia="Times New Roman"/>
                <w:sz w:val="18"/>
                <w:szCs w:val="18"/>
                <w:shd w:val="clear" w:color="auto" w:fill="FFFFFF"/>
                <w:lang w:val="en-GB" w:eastAsia="en-GB"/>
              </w:rPr>
              <w:t xml:space="preserve"> database and </w:t>
            </w:r>
            <w:proofErr w:type="spellStart"/>
            <w:r w:rsidRPr="00190DE0">
              <w:rPr>
                <w:rFonts w:eastAsia="Times New Roman"/>
                <w:sz w:val="18"/>
                <w:szCs w:val="18"/>
                <w:shd w:val="clear" w:color="auto" w:fill="FFFFFF"/>
                <w:lang w:val="en-GB" w:eastAsia="en-GB"/>
              </w:rPr>
              <w:t>NephQTL</w:t>
            </w:r>
            <w:proofErr w:type="spellEnd"/>
            <w:r>
              <w:rPr>
                <w:rFonts w:eastAsia="Times New Roman" w:hint="eastAsia"/>
                <w:sz w:val="18"/>
                <w:szCs w:val="18"/>
                <w:shd w:val="clear" w:color="auto" w:fill="FFFFFF"/>
                <w:lang w:val="en-GB" w:eastAsia="zh-CN"/>
              </w:rPr>
              <w:t xml:space="preserve">. </w:t>
            </w:r>
            <w:r w:rsidRPr="00115E18">
              <w:rPr>
                <w:rFonts w:eastAsia="Times New Roman"/>
                <w:sz w:val="18"/>
                <w:szCs w:val="18"/>
                <w:shd w:val="clear" w:color="auto" w:fill="FFFFFF"/>
                <w:lang w:val="en-GB" w:eastAsia="zh-CN"/>
              </w:rPr>
              <w:t xml:space="preserve">Outcome data for MN were obtained from the </w:t>
            </w:r>
            <w:r w:rsidRPr="00115E18">
              <w:rPr>
                <w:rFonts w:eastAsia="Times New Roman"/>
                <w:sz w:val="18"/>
                <w:szCs w:val="18"/>
                <w:shd w:val="clear" w:color="auto" w:fill="FFFFFF"/>
                <w:lang w:val="en-GB" w:eastAsia="zh-CN"/>
              </w:rPr>
              <w:lastRenderedPageBreak/>
              <w:t xml:space="preserve">IEU </w:t>
            </w:r>
            <w:proofErr w:type="spellStart"/>
            <w:r w:rsidRPr="00115E18">
              <w:rPr>
                <w:rFonts w:eastAsia="Times New Roman"/>
                <w:sz w:val="18"/>
                <w:szCs w:val="18"/>
                <w:shd w:val="clear" w:color="auto" w:fill="FFFFFF"/>
                <w:lang w:val="en-GB" w:eastAsia="zh-CN"/>
              </w:rPr>
              <w:t>OpenGWAS</w:t>
            </w:r>
            <w:proofErr w:type="spellEnd"/>
            <w:r w:rsidRPr="00115E18">
              <w:rPr>
                <w:rFonts w:eastAsia="Times New Roman"/>
                <w:sz w:val="18"/>
                <w:szCs w:val="18"/>
                <w:shd w:val="clear" w:color="auto" w:fill="FFFFFF"/>
                <w:lang w:val="en-GB" w:eastAsia="zh-CN"/>
              </w:rPr>
              <w:t xml:space="preserve"> database, incorporating datasets from diverse populations, including ebi-a-GCST010005 (2150 cases and 5829 controls of European ancestry) and ebi-a-GCST010004 (1632 cases and 3209 controls of East Asian ancestry) for discovery and validation.</w:t>
            </w:r>
            <w:r>
              <w:rPr>
                <w:rFonts w:eastAsia="Times New Roman" w:hint="eastAsia"/>
                <w:sz w:val="18"/>
                <w:szCs w:val="18"/>
                <w:shd w:val="clear" w:color="auto" w:fill="FFFFFF"/>
                <w:lang w:val="en-GB" w:eastAsia="zh-CN"/>
              </w:rPr>
              <w:t xml:space="preserve"> The code is provided in </w:t>
            </w:r>
            <w:r w:rsidRPr="007671E5">
              <w:rPr>
                <w:rFonts w:eastAsia="Times New Roman"/>
                <w:sz w:val="18"/>
                <w:szCs w:val="18"/>
                <w:shd w:val="clear" w:color="auto" w:fill="FFFFFF"/>
                <w:lang w:val="en-GB" w:eastAsia="zh-CN"/>
              </w:rPr>
              <w:t>submission system</w:t>
            </w:r>
            <w:r>
              <w:rPr>
                <w:rFonts w:eastAsia="Times New Roman" w:hint="eastAsia"/>
                <w:sz w:val="18"/>
                <w:szCs w:val="18"/>
                <w:shd w:val="clear" w:color="auto" w:fill="FFFFFF"/>
                <w:lang w:val="en-GB" w:eastAsia="zh-CN"/>
              </w:rPr>
              <w:t>.</w:t>
            </w:r>
          </w:p>
        </w:tc>
      </w:tr>
      <w:tr w:rsidR="00D8098C" w:rsidRPr="00B853C6" w14:paraId="1BFE6A86" w14:textId="26747AA0" w:rsidTr="003D447D">
        <w:tc>
          <w:tcPr>
            <w:tcW w:w="587" w:type="dxa"/>
            <w:tcBorders>
              <w:bottom w:val="single" w:sz="6" w:space="0" w:color="7F7F7F"/>
            </w:tcBorders>
            <w:shd w:val="clear" w:color="auto" w:fill="EEEEEE"/>
          </w:tcPr>
          <w:p w14:paraId="20DC2C92"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20</w:t>
            </w:r>
          </w:p>
        </w:tc>
        <w:tc>
          <w:tcPr>
            <w:tcW w:w="1822" w:type="dxa"/>
            <w:tcBorders>
              <w:bottom w:val="single" w:sz="6" w:space="0" w:color="7F7F7F"/>
            </w:tcBorders>
            <w:shd w:val="clear" w:color="auto" w:fill="EEEEEE"/>
          </w:tcPr>
          <w:p w14:paraId="39A69A1B"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Conflicts of Interest  </w:t>
            </w:r>
          </w:p>
        </w:tc>
        <w:tc>
          <w:tcPr>
            <w:tcW w:w="7041" w:type="dxa"/>
            <w:tcBorders>
              <w:bottom w:val="single" w:sz="6" w:space="0" w:color="7F7F7F"/>
            </w:tcBorders>
            <w:shd w:val="clear" w:color="auto" w:fill="EEEEEE"/>
          </w:tcPr>
          <w:p w14:paraId="4772D912"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All authors should declare all potential conflicts of interest</w:t>
            </w:r>
          </w:p>
        </w:tc>
        <w:tc>
          <w:tcPr>
            <w:tcW w:w="720" w:type="dxa"/>
            <w:tcBorders>
              <w:bottom w:val="single" w:sz="6" w:space="0" w:color="7F7F7F"/>
            </w:tcBorders>
            <w:shd w:val="clear" w:color="auto" w:fill="EEEEEE"/>
          </w:tcPr>
          <w:p w14:paraId="1B63BC8B" w14:textId="168EBE6C" w:rsidR="00D8098C" w:rsidRPr="00F0337F" w:rsidRDefault="00597223" w:rsidP="00426603">
            <w:pPr>
              <w:spacing w:beforeLines="40" w:before="96" w:afterLines="40" w:after="96" w:line="24" w:lineRule="atLeast"/>
              <w:rPr>
                <w:rFonts w:eastAsia="Times New Roman" w:hint="eastAsia"/>
                <w:sz w:val="18"/>
                <w:szCs w:val="18"/>
                <w:lang w:val="en-GB" w:eastAsia="zh-CN"/>
              </w:rPr>
            </w:pPr>
            <w:r>
              <w:rPr>
                <w:rFonts w:eastAsia="Times New Roman" w:hint="eastAsia"/>
                <w:sz w:val="18"/>
                <w:szCs w:val="18"/>
                <w:lang w:val="en-GB" w:eastAsia="zh-CN"/>
              </w:rPr>
              <w:t>1</w:t>
            </w:r>
            <w:r>
              <w:rPr>
                <w:rFonts w:eastAsia="Times New Roman"/>
                <w:sz w:val="18"/>
                <w:szCs w:val="18"/>
                <w:lang w:val="en-GB" w:eastAsia="zh-CN"/>
              </w:rPr>
              <w:t>6</w:t>
            </w:r>
          </w:p>
        </w:tc>
        <w:tc>
          <w:tcPr>
            <w:tcW w:w="4320" w:type="dxa"/>
            <w:tcBorders>
              <w:bottom w:val="single" w:sz="6" w:space="0" w:color="7F7F7F"/>
            </w:tcBorders>
            <w:shd w:val="clear" w:color="auto" w:fill="EEEEEE"/>
          </w:tcPr>
          <w:p w14:paraId="5D9123A4" w14:textId="3DF94ABF" w:rsidR="00D8098C" w:rsidRDefault="00597223" w:rsidP="00426603">
            <w:pPr>
              <w:spacing w:beforeLines="40" w:before="96" w:afterLines="40" w:after="96" w:line="24" w:lineRule="atLeast"/>
              <w:rPr>
                <w:rFonts w:eastAsia="Times New Roman"/>
                <w:sz w:val="18"/>
                <w:szCs w:val="18"/>
                <w:lang w:val="en-GB" w:eastAsia="en-GB"/>
              </w:rPr>
            </w:pPr>
            <w:r w:rsidRPr="00597223">
              <w:rPr>
                <w:rFonts w:eastAsia="Times New Roman"/>
                <w:sz w:val="18"/>
                <w:szCs w:val="18"/>
                <w:lang w:val="en-GB" w:eastAsia="en-GB"/>
              </w:rPr>
              <w:t>The authors declare that they have no conflicts of interest with the contents of this article.</w:t>
            </w:r>
          </w:p>
        </w:tc>
      </w:tr>
    </w:tbl>
    <w:p w14:paraId="386115B2" w14:textId="17D6D8D3" w:rsidR="00E1396A" w:rsidRPr="009854A9" w:rsidRDefault="00D65199" w:rsidP="005520ED">
      <w:pPr>
        <w:spacing w:before="240" w:after="240"/>
        <w:rPr>
          <w:sz w:val="19"/>
          <w:szCs w:val="19"/>
        </w:rPr>
      </w:pPr>
      <w:r w:rsidRPr="009854A9">
        <w:rPr>
          <w:sz w:val="19"/>
          <w:szCs w:val="19"/>
        </w:rPr>
        <w:t xml:space="preserve">This checklist is copyrighted by the Equator Network under the Creative Commons Attribution 3.0 </w:t>
      </w:r>
      <w:proofErr w:type="spellStart"/>
      <w:r w:rsidRPr="009854A9">
        <w:rPr>
          <w:sz w:val="19"/>
          <w:szCs w:val="19"/>
        </w:rPr>
        <w:t>Unported</w:t>
      </w:r>
      <w:proofErr w:type="spellEnd"/>
      <w:r w:rsidRPr="009854A9">
        <w:rPr>
          <w:sz w:val="19"/>
          <w:szCs w:val="19"/>
        </w:rPr>
        <w:t xml:space="preserve"> (CC BY 3.0) license.</w:t>
      </w:r>
    </w:p>
    <w:p w14:paraId="5DDF8A06" w14:textId="73FE4A93" w:rsidR="009854A9" w:rsidRPr="009854A9" w:rsidRDefault="00804498" w:rsidP="009854A9">
      <w:pPr>
        <w:widowControl w:val="0"/>
        <w:autoSpaceDE w:val="0"/>
        <w:autoSpaceDN w:val="0"/>
        <w:adjustRightInd w:val="0"/>
        <w:spacing w:before="240" w:after="240" w:line="240" w:lineRule="auto"/>
        <w:ind w:left="640" w:hanging="640"/>
        <w:rPr>
          <w:noProof/>
          <w:sz w:val="19"/>
          <w:szCs w:val="19"/>
        </w:rPr>
      </w:pPr>
      <w:r w:rsidRPr="009854A9">
        <w:rPr>
          <w:sz w:val="19"/>
          <w:szCs w:val="19"/>
        </w:rPr>
        <w:fldChar w:fldCharType="begin" w:fldLock="1"/>
      </w:r>
      <w:r w:rsidRPr="009854A9">
        <w:rPr>
          <w:sz w:val="19"/>
          <w:szCs w:val="19"/>
        </w:rPr>
        <w:instrText xml:space="preserve">ADDIN Mendeley Bibliography CSL_BIBLIOGRAPHY </w:instrText>
      </w:r>
      <w:r w:rsidRPr="009854A9">
        <w:rPr>
          <w:sz w:val="19"/>
          <w:szCs w:val="19"/>
        </w:rPr>
        <w:fldChar w:fldCharType="separate"/>
      </w:r>
      <w:r w:rsidR="009854A9" w:rsidRPr="009854A9">
        <w:rPr>
          <w:noProof/>
          <w:sz w:val="19"/>
          <w:szCs w:val="19"/>
        </w:rPr>
        <w:t xml:space="preserve">1. </w:t>
      </w:r>
      <w:r w:rsidR="009854A9" w:rsidRPr="009854A9">
        <w:rPr>
          <w:noProof/>
          <w:sz w:val="19"/>
          <w:szCs w:val="19"/>
        </w:rPr>
        <w:tab/>
        <w:t xml:space="preserve">Skrivankova VW, Richmond RC, Woolf BAR, Yarmolinsky J, Davies NM, Swanson SA, et al. Strengthening the Reporting of Observational Studies in Epidemiology using Mendelian Randomization (STROBE-MR) Statement. JAMA. 2021;under review. </w:t>
      </w:r>
    </w:p>
    <w:p w14:paraId="63BF03A9" w14:textId="77777777" w:rsidR="009854A9" w:rsidRPr="009854A9" w:rsidRDefault="009854A9" w:rsidP="009854A9">
      <w:pPr>
        <w:widowControl w:val="0"/>
        <w:autoSpaceDE w:val="0"/>
        <w:autoSpaceDN w:val="0"/>
        <w:adjustRightInd w:val="0"/>
        <w:spacing w:before="240" w:after="240" w:line="240" w:lineRule="auto"/>
        <w:ind w:left="640" w:hanging="640"/>
        <w:rPr>
          <w:noProof/>
          <w:sz w:val="19"/>
          <w:szCs w:val="19"/>
        </w:rPr>
      </w:pPr>
      <w:r w:rsidRPr="009854A9">
        <w:rPr>
          <w:noProof/>
          <w:sz w:val="19"/>
          <w:szCs w:val="19"/>
        </w:rPr>
        <w:t xml:space="preserve">2. </w:t>
      </w:r>
      <w:r w:rsidRPr="009854A9">
        <w:rPr>
          <w:noProof/>
          <w:sz w:val="19"/>
          <w:szCs w:val="19"/>
        </w:rPr>
        <w:tab/>
        <w:t xml:space="preserve">Skrivankova VW, Richmond RC, Woolf BAR, Davies NM, Swanson SA, VanderWeele TJ, et al. Strengthening the Reporting of Observational Studies in Epidemiology using Mendelian Randomisation (STROBE-MR): Explanation and Elaboration. BMJ. 2021;375:n2233. </w:t>
      </w:r>
    </w:p>
    <w:p w14:paraId="25DB435D" w14:textId="164414FA" w:rsidR="00804498" w:rsidRDefault="00804498" w:rsidP="005520ED">
      <w:pPr>
        <w:spacing w:before="240" w:after="240"/>
      </w:pPr>
      <w:r w:rsidRPr="009854A9">
        <w:rPr>
          <w:sz w:val="19"/>
          <w:szCs w:val="19"/>
        </w:rPr>
        <w:fldChar w:fldCharType="end"/>
      </w:r>
    </w:p>
    <w:sectPr w:rsidR="00804498" w:rsidSect="003D447D">
      <w:footerReference w:type="even" r:id="rId10"/>
      <w:footerReference w:type="default" r:id="rId11"/>
      <w:pgSz w:w="15840" w:h="12240" w:orient="landscape"/>
      <w:pgMar w:top="1008" w:right="720" w:bottom="1008"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76153" w14:textId="77777777" w:rsidR="00846E0B" w:rsidRDefault="00846E0B">
      <w:pPr>
        <w:spacing w:line="240" w:lineRule="auto"/>
      </w:pPr>
      <w:r>
        <w:separator/>
      </w:r>
    </w:p>
  </w:endnote>
  <w:endnote w:type="continuationSeparator" w:id="0">
    <w:p w14:paraId="5A888294" w14:textId="77777777" w:rsidR="00846E0B" w:rsidRDefault="00846E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A166" w14:textId="77777777" w:rsidR="00E1396A" w:rsidRDefault="00E1396A" w:rsidP="00A365E5">
    <w:pPr>
      <w:pStyle w:val="a3"/>
      <w:framePr w:wrap="none" w:vAnchor="text" w:hAnchor="margin" w:xAlign="right" w:y="1"/>
      <w:rPr>
        <w:rStyle w:val="a5"/>
      </w:rPr>
    </w:pPr>
  </w:p>
  <w:p w14:paraId="40A0897E" w14:textId="77777777" w:rsidR="00E1396A" w:rsidRDefault="00E1396A" w:rsidP="00C141F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7B5E" w14:textId="0AA16358" w:rsidR="00E1396A" w:rsidRDefault="003D447D">
    <w:pPr>
      <w:pStyle w:val="a3"/>
      <w:jc w:val="right"/>
    </w:pPr>
    <w:r>
      <w:fldChar w:fldCharType="begin"/>
    </w:r>
    <w:r>
      <w:instrText xml:space="preserve"> PAGE   \* MERGEFORMAT </w:instrText>
    </w:r>
    <w:r>
      <w:fldChar w:fldCharType="separate"/>
    </w:r>
    <w:r w:rsidR="00BB6328">
      <w:rPr>
        <w:noProof/>
      </w:rPr>
      <w:t>1</w:t>
    </w:r>
    <w:r>
      <w:rPr>
        <w:noProof/>
      </w:rPr>
      <w:fldChar w:fldCharType="end"/>
    </w:r>
  </w:p>
  <w:p w14:paraId="41D89672" w14:textId="77777777" w:rsidR="00E1396A" w:rsidRDefault="00E1396A" w:rsidP="00C141F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A21E8" w14:textId="77777777" w:rsidR="00846E0B" w:rsidRDefault="00846E0B">
      <w:pPr>
        <w:spacing w:line="240" w:lineRule="auto"/>
      </w:pPr>
      <w:r>
        <w:separator/>
      </w:r>
    </w:p>
  </w:footnote>
  <w:footnote w:type="continuationSeparator" w:id="0">
    <w:p w14:paraId="463F2D9F" w14:textId="77777777" w:rsidR="00846E0B" w:rsidRDefault="00846E0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56"/>
    <w:rsid w:val="000A4CE8"/>
    <w:rsid w:val="00115E18"/>
    <w:rsid w:val="00165C28"/>
    <w:rsid w:val="00190DE0"/>
    <w:rsid w:val="002663E6"/>
    <w:rsid w:val="002B457A"/>
    <w:rsid w:val="002B501A"/>
    <w:rsid w:val="00311934"/>
    <w:rsid w:val="003A7F19"/>
    <w:rsid w:val="003D447D"/>
    <w:rsid w:val="003D47DD"/>
    <w:rsid w:val="004B5CBB"/>
    <w:rsid w:val="004E11D4"/>
    <w:rsid w:val="00514462"/>
    <w:rsid w:val="005520ED"/>
    <w:rsid w:val="00597223"/>
    <w:rsid w:val="005A0D0D"/>
    <w:rsid w:val="00673341"/>
    <w:rsid w:val="00685D31"/>
    <w:rsid w:val="006912BF"/>
    <w:rsid w:val="006A41D0"/>
    <w:rsid w:val="006B08D5"/>
    <w:rsid w:val="007671E5"/>
    <w:rsid w:val="00804498"/>
    <w:rsid w:val="00846E0B"/>
    <w:rsid w:val="00914C56"/>
    <w:rsid w:val="0092281C"/>
    <w:rsid w:val="00950729"/>
    <w:rsid w:val="009854A9"/>
    <w:rsid w:val="009E033F"/>
    <w:rsid w:val="00AA1671"/>
    <w:rsid w:val="00BB6328"/>
    <w:rsid w:val="00D422C9"/>
    <w:rsid w:val="00D65199"/>
    <w:rsid w:val="00D8098C"/>
    <w:rsid w:val="00D86431"/>
    <w:rsid w:val="00DE5444"/>
    <w:rsid w:val="00E1396A"/>
    <w:rsid w:val="00EB1612"/>
    <w:rsid w:val="00ED48A3"/>
    <w:rsid w:val="00EF0859"/>
    <w:rsid w:val="00EF4B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E999F"/>
  <w15:chartTrackingRefBased/>
  <w15:docId w15:val="{3C23E9FF-C4EB-475A-AABF-DB561B80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14C56"/>
    <w:pPr>
      <w:spacing w:after="0" w:line="276" w:lineRule="auto"/>
    </w:pPr>
    <w:rPr>
      <w:rFonts w:ascii="Arial" w:eastAsia="Arial" w:hAnsi="Arial" w:cs="Arial"/>
      <w:lang w:val="en" w:eastAsia="de-C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14C56"/>
    <w:pPr>
      <w:tabs>
        <w:tab w:val="center" w:pos="4680"/>
        <w:tab w:val="right" w:pos="9360"/>
      </w:tabs>
      <w:spacing w:line="240" w:lineRule="auto"/>
    </w:pPr>
  </w:style>
  <w:style w:type="character" w:customStyle="1" w:styleId="a4">
    <w:name w:val="页脚 字符"/>
    <w:basedOn w:val="a0"/>
    <w:link w:val="a3"/>
    <w:uiPriority w:val="99"/>
    <w:rsid w:val="00914C56"/>
    <w:rPr>
      <w:rFonts w:ascii="Arial" w:eastAsia="Arial" w:hAnsi="Arial" w:cs="Arial"/>
      <w:lang w:val="en" w:eastAsia="de-CH"/>
    </w:rPr>
  </w:style>
  <w:style w:type="character" w:styleId="a5">
    <w:name w:val="page number"/>
    <w:basedOn w:val="a0"/>
    <w:uiPriority w:val="99"/>
    <w:semiHidden/>
    <w:unhideWhenUsed/>
    <w:rsid w:val="00914C56"/>
  </w:style>
  <w:style w:type="character" w:styleId="a6">
    <w:name w:val="line number"/>
    <w:basedOn w:val="a0"/>
    <w:uiPriority w:val="99"/>
    <w:semiHidden/>
    <w:unhideWhenUsed/>
    <w:rsid w:val="00914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76252F6EC97BD48BFC15397CDF87BCA" ma:contentTypeVersion="14" ma:contentTypeDescription="Ein neues Dokument erstellen." ma:contentTypeScope="" ma:versionID="99bba3a2774fdba6befc8d470ad041a8">
  <xsd:schema xmlns:xsd="http://www.w3.org/2001/XMLSchema" xmlns:xs="http://www.w3.org/2001/XMLSchema" xmlns:p="http://schemas.microsoft.com/office/2006/metadata/properties" xmlns:ns3="892d8916-a04a-483c-b38c-baf9957a1c5f" xmlns:ns4="697eed72-5420-4f01-93c1-7c9f4310e871" targetNamespace="http://schemas.microsoft.com/office/2006/metadata/properties" ma:root="true" ma:fieldsID="08b8b0ba8c484102a3bbe13611225d97" ns3:_="" ns4:_="">
    <xsd:import namespace="892d8916-a04a-483c-b38c-baf9957a1c5f"/>
    <xsd:import namespace="697eed72-5420-4f01-93c1-7c9f4310e8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d8916-a04a-483c-b38c-baf9957a1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7eed72-5420-4f01-93c1-7c9f4310e87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0931C-FCE2-4CC4-80DE-15614B41F1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DA32DB-E5B8-4E32-AD11-08F2E668867B}">
  <ds:schemaRefs>
    <ds:schemaRef ds:uri="http://schemas.openxmlformats.org/officeDocument/2006/bibliography"/>
  </ds:schemaRefs>
</ds:datastoreItem>
</file>

<file path=customXml/itemProps3.xml><?xml version="1.0" encoding="utf-8"?>
<ds:datastoreItem xmlns:ds="http://schemas.openxmlformats.org/officeDocument/2006/customXml" ds:itemID="{A9898B61-61B7-44F1-9388-8B27875B1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d8916-a04a-483c-b38c-baf9957a1c5f"/>
    <ds:schemaRef ds:uri="697eed72-5420-4f01-93c1-7c9f4310e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F20111-77FD-4F18-8E31-D73787464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3218</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Bern</Company>
  <LinksUpToDate>false</LinksUpToDate>
  <CharactersWithSpaces>21524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Whitesell, Veronika (ISPM)</dc:creator>
  <cp:keywords/>
  <dc:description/>
  <cp:lastModifiedBy>qinxin Yimi</cp:lastModifiedBy>
  <cp:revision>12</cp:revision>
  <cp:lastPrinted>2021-09-28T07:08:00Z</cp:lastPrinted>
  <dcterms:created xsi:type="dcterms:W3CDTF">2022-04-07T08:09:00Z</dcterms:created>
  <dcterms:modified xsi:type="dcterms:W3CDTF">2024-11-17T11:39:00Z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0x010100D76252F6EC97BD48BFC15397CDF87BCA</vt:lpwstr>
  </property>
  <property fmtid="{D5CDD505-2E9C-101B-9397-08002B2CF9AE}" pid="3" name="Mendeley Document_1">
    <vt:lpwstr>True</vt:lpwstr>
  </property>
  <property fmtid="{D5CDD505-2E9C-101B-9397-08002B2CF9AE}" pid="4" name="Mendeley Unique User Id_1">
    <vt:lpwstr>54eed440-5ecd-3ecc-9960-859334ccb0da</vt:lpwstr>
  </property>
  <property fmtid="{D5CDD505-2E9C-101B-9397-08002B2CF9AE}" pid="5" name="Mendeley Citation Style_1">
    <vt:lpwstr>http://www.zotero.org/styles/vancouver-superscript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http://www.zotero.org/styles/vancouver-imperial-college-london</vt:lpwstr>
  </property>
  <property fmtid="{D5CDD505-2E9C-101B-9397-08002B2CF9AE}" pid="21" name="Mendeley Recent Style Name 7_1">
    <vt:lpwstr>Imperial College London - Vancouver</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ies>
</file>