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C7E9BA">
      <w:pPr>
        <w:spacing w:before="120" w:beforeLines="50" w:after="120" w:afterLines="50" w:line="360" w:lineRule="auto"/>
        <w:jc w:val="both"/>
        <w:rPr>
          <w:rFonts w:hint="default" w:ascii="Times New Roman" w:hAnsi="Times New Roman" w:eastAsia="宋体" w:cs="Times New Roman"/>
          <w:b/>
          <w:color w:val="auto"/>
          <w:sz w:val="36"/>
          <w:szCs w:val="36"/>
          <w:highlight w:val="none"/>
          <w:lang w:val="en-US" w:eastAsia="zh-CN"/>
        </w:rPr>
      </w:pPr>
      <w:bookmarkStart w:id="0" w:name="_Hlk76477417"/>
      <w:bookmarkStart w:id="1" w:name="_Hlk76477437"/>
      <w:bookmarkStart w:id="2" w:name="_Hlk76476833"/>
      <w:r>
        <w:rPr>
          <w:rFonts w:hint="default" w:ascii="Times New Roman" w:hAnsi="Times New Roman" w:eastAsia="宋体" w:cs="Times New Roman"/>
          <w:b/>
          <w:color w:val="auto"/>
          <w:sz w:val="36"/>
          <w:szCs w:val="36"/>
          <w:highlight w:val="none"/>
          <w:lang w:val="en-US" w:eastAsia="zh-CN"/>
        </w:rPr>
        <w:t>Supplementary Materials</w:t>
      </w:r>
    </w:p>
    <w:p w14:paraId="24068563">
      <w:pPr>
        <w:spacing w:before="120" w:beforeLines="50" w:after="120" w:afterLines="50" w:line="360" w:lineRule="auto"/>
        <w:jc w:val="both"/>
        <w:rPr>
          <w:rFonts w:hint="default" w:ascii="Times New Roman" w:hAnsi="Times New Roman" w:eastAsia="宋体" w:cs="Times New Roman"/>
          <w:b/>
          <w:color w:val="auto"/>
          <w:sz w:val="36"/>
          <w:szCs w:val="36"/>
          <w:highlight w:val="none"/>
          <w:lang w:val="en-US" w:eastAsia="zh-CN"/>
        </w:rPr>
      </w:pPr>
      <w:r>
        <w:rPr>
          <w:rFonts w:hint="eastAsia" w:ascii="Times New Roman" w:hAnsi="Times New Roman" w:eastAsia="宋体" w:cs="Times New Roman"/>
          <w:b/>
          <w:color w:val="auto"/>
          <w:sz w:val="36"/>
          <w:szCs w:val="36"/>
          <w:highlight w:val="none"/>
          <w:lang w:val="en-US" w:eastAsia="zh-CN"/>
        </w:rPr>
        <w:t>Q</w:t>
      </w:r>
      <w:r>
        <w:rPr>
          <w:rFonts w:hint="eastAsia" w:ascii="Times New Roman" w:hAnsi="Times New Roman" w:eastAsia="宋体" w:cs="Times New Roman"/>
          <w:b/>
          <w:color w:val="auto"/>
          <w:sz w:val="36"/>
          <w:szCs w:val="36"/>
          <w:highlight w:val="none"/>
          <w:lang w:eastAsia="zh-CN"/>
        </w:rPr>
        <w:t xml:space="preserve">uantitative PCR  </w:t>
      </w:r>
      <w:r>
        <w:rPr>
          <w:rFonts w:hint="eastAsia" w:ascii="Times New Roman" w:hAnsi="Times New Roman" w:eastAsia="宋体" w:cs="Times New Roman"/>
          <w:b/>
          <w:color w:val="auto"/>
          <w:sz w:val="36"/>
          <w:szCs w:val="36"/>
          <w:highlight w:val="none"/>
          <w:lang w:val="en-US" w:eastAsia="zh-CN"/>
        </w:rPr>
        <w:t>Report No.1</w:t>
      </w:r>
    </w:p>
    <w:p w14:paraId="0D51B89D">
      <w:pPr>
        <w:spacing w:before="120" w:beforeLines="50" w:after="120" w:afterLines="50" w:line="360" w:lineRule="auto"/>
        <w:jc w:val="both"/>
        <w:rPr>
          <w:rFonts w:ascii="Times New Roman" w:hAnsi="Times New Roman" w:eastAsia="宋体"/>
          <w:b/>
          <w:color w:val="auto"/>
          <w:sz w:val="28"/>
          <w:szCs w:val="28"/>
          <w:highlight w:val="none"/>
          <w:lang w:eastAsia="zh-CN"/>
        </w:rPr>
      </w:pPr>
      <w:r>
        <w:rPr>
          <w:rFonts w:hint="eastAsia" w:ascii="Times New Roman" w:hAnsi="Times New Roman" w:eastAsia="宋体"/>
          <w:b/>
          <w:color w:val="auto"/>
          <w:sz w:val="28"/>
          <w:szCs w:val="28"/>
          <w:highlight w:val="none"/>
          <w:lang w:eastAsia="zh-CN"/>
        </w:rPr>
        <w:t>1. experimental objective</w:t>
      </w:r>
    </w:p>
    <w:bookmarkEnd w:id="0"/>
    <w:p w14:paraId="39967792">
      <w:pPr>
        <w:spacing w:before="120" w:beforeLines="50" w:after="120" w:afterLines="50" w:line="360" w:lineRule="auto"/>
        <w:ind w:firstLine="480" w:firstLineChars="200"/>
        <w:jc w:val="both"/>
        <w:rPr>
          <w:rFonts w:ascii="Times New Roman" w:hAnsi="Times New Roman" w:eastAsia="宋体"/>
          <w:bCs/>
          <w:color w:val="auto"/>
          <w:sz w:val="24"/>
          <w:szCs w:val="24"/>
          <w:highlight w:val="none"/>
          <w:lang w:eastAsia="zh-CN"/>
        </w:rPr>
      </w:pPr>
      <w:bookmarkStart w:id="3" w:name="_Hlk76477421"/>
      <w:r>
        <w:rPr>
          <w:rFonts w:ascii="Times New Roman" w:hAnsi="Times New Roman" w:eastAsia="宋体"/>
          <w:bCs/>
          <w:color w:val="auto"/>
          <w:sz w:val="24"/>
          <w:szCs w:val="24"/>
          <w:highlight w:val="none"/>
          <w:lang w:eastAsia="zh-CN"/>
        </w:rPr>
        <w:t>The relative expression of</w:t>
      </w:r>
      <w:r>
        <w:rPr>
          <w:rFonts w:hint="eastAsia" w:ascii="Times New Roman" w:hAnsi="Times New Roman" w:eastAsia="宋体"/>
          <w:bCs/>
          <w:color w:val="auto"/>
          <w:sz w:val="24"/>
          <w:szCs w:val="24"/>
          <w:highlight w:val="none"/>
          <w:lang w:val="en-US" w:eastAsia="zh-CN"/>
        </w:rPr>
        <w:t xml:space="preserve"> GAPDH</w:t>
      </w:r>
      <w:r>
        <w:rPr>
          <w:rFonts w:ascii="Times New Roman" w:hAnsi="Times New Roman" w:eastAsia="宋体"/>
          <w:bCs/>
          <w:color w:val="auto"/>
          <w:sz w:val="24"/>
          <w:szCs w:val="24"/>
          <w:highlight w:val="none"/>
          <w:lang w:eastAsia="zh-CN"/>
        </w:rPr>
        <w:t xml:space="preserve"> and DHCR 7 was used by quantitative PCR reaction to compare the difference of DHCR 7 gene expression between carcinoma and adjacent samples, and further investigate the biological correlation of DHCR 7 and clinical samples.</w:t>
      </w:r>
    </w:p>
    <w:p w14:paraId="4697ECD1">
      <w:pPr>
        <w:spacing w:before="120" w:beforeLines="50" w:after="120" w:afterLines="50" w:line="360" w:lineRule="auto"/>
        <w:jc w:val="both"/>
        <w:rPr>
          <w:rFonts w:ascii="Times New Roman" w:hAnsi="Times New Roman" w:eastAsia="宋体"/>
          <w:b/>
          <w:color w:val="auto"/>
          <w:sz w:val="28"/>
          <w:szCs w:val="28"/>
          <w:highlight w:val="none"/>
          <w:lang w:eastAsia="zh-CN"/>
        </w:rPr>
      </w:pPr>
      <w:r>
        <w:rPr>
          <w:rFonts w:hint="eastAsia" w:ascii="Times New Roman" w:hAnsi="Times New Roman" w:eastAsia="宋体"/>
          <w:b/>
          <w:color w:val="auto"/>
          <w:sz w:val="28"/>
          <w:szCs w:val="28"/>
          <w:highlight w:val="none"/>
          <w:lang w:eastAsia="zh-CN"/>
        </w:rPr>
        <w:t>2. laboratory apparatus</w:t>
      </w:r>
      <w:bookmarkStart w:id="10" w:name="_GoBack"/>
      <w:bookmarkEnd w:id="10"/>
    </w:p>
    <w:bookmarkEnd w:id="3"/>
    <w:p w14:paraId="5F3E5F10">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laboratory apparatus</w:t>
      </w:r>
    </w:p>
    <w:tbl>
      <w:tblPr>
        <w:tblStyle w:val="8"/>
        <w:tblW w:w="7211" w:type="dxa"/>
        <w:jc w:val="center"/>
        <w:tblLayout w:type="fixed"/>
        <w:tblCellMar>
          <w:top w:w="0" w:type="dxa"/>
          <w:left w:w="108" w:type="dxa"/>
          <w:bottom w:w="0" w:type="dxa"/>
          <w:right w:w="108" w:type="dxa"/>
        </w:tblCellMar>
      </w:tblPr>
      <w:tblGrid>
        <w:gridCol w:w="2333"/>
        <w:gridCol w:w="137"/>
        <w:gridCol w:w="2211"/>
        <w:gridCol w:w="121"/>
        <w:gridCol w:w="2409"/>
      </w:tblGrid>
      <w:tr w14:paraId="15E152DD">
        <w:tblPrEx>
          <w:tblCellMar>
            <w:top w:w="0" w:type="dxa"/>
            <w:left w:w="108" w:type="dxa"/>
            <w:bottom w:w="0" w:type="dxa"/>
            <w:right w:w="108" w:type="dxa"/>
          </w:tblCellMar>
        </w:tblPrEx>
        <w:trPr>
          <w:trHeight w:val="340" w:hRule="atLeast"/>
          <w:jc w:val="center"/>
        </w:trPr>
        <w:tc>
          <w:tcPr>
            <w:tcW w:w="2333" w:type="dxa"/>
            <w:tcBorders>
              <w:top w:val="single" w:color="auto" w:sz="4" w:space="0"/>
              <w:left w:val="nil"/>
              <w:bottom w:val="single" w:color="auto" w:sz="4" w:space="0"/>
              <w:right w:val="nil"/>
            </w:tcBorders>
            <w:vAlign w:val="center"/>
          </w:tcPr>
          <w:p w14:paraId="1647839D">
            <w:pPr>
              <w:jc w:val="both"/>
              <w:rPr>
                <w:rFonts w:ascii="Times New Roman" w:hAnsi="Times New Roman" w:eastAsia="宋体"/>
                <w:color w:val="auto"/>
                <w:sz w:val="24"/>
                <w:szCs w:val="24"/>
                <w:highlight w:val="none"/>
              </w:rPr>
            </w:pPr>
            <w:bookmarkStart w:id="4" w:name="_Hlk76477424"/>
            <w:r>
              <w:rPr>
                <w:rFonts w:hint="eastAsia" w:ascii="Times New Roman" w:hAnsi="Times New Roman" w:eastAsia="宋体"/>
                <w:color w:val="auto"/>
                <w:sz w:val="24"/>
                <w:szCs w:val="24"/>
                <w:highlight w:val="none"/>
              </w:rPr>
              <w:t>name</w:t>
            </w:r>
          </w:p>
        </w:tc>
        <w:tc>
          <w:tcPr>
            <w:tcW w:w="2469" w:type="dxa"/>
            <w:gridSpan w:val="3"/>
            <w:tcBorders>
              <w:top w:val="single" w:color="auto" w:sz="4" w:space="0"/>
              <w:left w:val="nil"/>
              <w:bottom w:val="single" w:color="auto" w:sz="4" w:space="0"/>
              <w:right w:val="nil"/>
            </w:tcBorders>
            <w:vAlign w:val="center"/>
          </w:tcPr>
          <w:p w14:paraId="18E8EF21">
            <w:pPr>
              <w:jc w:val="both"/>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company</w:t>
            </w:r>
          </w:p>
        </w:tc>
        <w:tc>
          <w:tcPr>
            <w:tcW w:w="2409" w:type="dxa"/>
            <w:tcBorders>
              <w:top w:val="single" w:color="auto" w:sz="4" w:space="0"/>
              <w:left w:val="nil"/>
              <w:bottom w:val="single" w:color="auto" w:sz="4" w:space="0"/>
              <w:right w:val="nil"/>
            </w:tcBorders>
            <w:vAlign w:val="center"/>
          </w:tcPr>
          <w:p w14:paraId="2325253B">
            <w:pPr>
              <w:jc w:val="both"/>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eastAsia="zh-CN"/>
              </w:rPr>
              <w:t>model</w:t>
            </w:r>
          </w:p>
        </w:tc>
      </w:tr>
      <w:tr w14:paraId="50702A39">
        <w:tblPrEx>
          <w:tblCellMar>
            <w:top w:w="0" w:type="dxa"/>
            <w:left w:w="108" w:type="dxa"/>
            <w:bottom w:w="0" w:type="dxa"/>
            <w:right w:w="108" w:type="dxa"/>
          </w:tblCellMar>
        </w:tblPrEx>
        <w:trPr>
          <w:trHeight w:val="340" w:hRule="atLeast"/>
          <w:jc w:val="center"/>
        </w:trPr>
        <w:tc>
          <w:tcPr>
            <w:tcW w:w="2470" w:type="dxa"/>
            <w:gridSpan w:val="2"/>
            <w:vAlign w:val="center"/>
          </w:tcPr>
          <w:p w14:paraId="42B00E49">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refrigerated centrifuge</w:t>
            </w:r>
          </w:p>
        </w:tc>
        <w:tc>
          <w:tcPr>
            <w:tcW w:w="2211" w:type="dxa"/>
            <w:vAlign w:val="center"/>
          </w:tcPr>
          <w:p w14:paraId="7A83E433">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e ppendorf</w:t>
            </w:r>
          </w:p>
        </w:tc>
        <w:tc>
          <w:tcPr>
            <w:tcW w:w="2530" w:type="dxa"/>
            <w:gridSpan w:val="2"/>
            <w:vAlign w:val="center"/>
          </w:tcPr>
          <w:p w14:paraId="2C2554B9">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5 424R</w:t>
            </w:r>
          </w:p>
        </w:tc>
      </w:tr>
      <w:tr w14:paraId="08FF2706">
        <w:tblPrEx>
          <w:tblCellMar>
            <w:top w:w="0" w:type="dxa"/>
            <w:left w:w="108" w:type="dxa"/>
            <w:bottom w:w="0" w:type="dxa"/>
            <w:right w:w="108" w:type="dxa"/>
          </w:tblCellMar>
        </w:tblPrEx>
        <w:trPr>
          <w:trHeight w:val="340" w:hRule="atLeast"/>
          <w:jc w:val="center"/>
        </w:trPr>
        <w:tc>
          <w:tcPr>
            <w:tcW w:w="2470" w:type="dxa"/>
            <w:gridSpan w:val="2"/>
            <w:vAlign w:val="center"/>
          </w:tcPr>
          <w:p w14:paraId="13D61004">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ultramicrospectrophotometer</w:t>
            </w:r>
          </w:p>
        </w:tc>
        <w:tc>
          <w:tcPr>
            <w:tcW w:w="2211" w:type="dxa"/>
            <w:vAlign w:val="center"/>
          </w:tcPr>
          <w:p w14:paraId="7BCF3440">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Thermo</w:t>
            </w:r>
          </w:p>
        </w:tc>
        <w:tc>
          <w:tcPr>
            <w:tcW w:w="2530" w:type="dxa"/>
            <w:gridSpan w:val="2"/>
            <w:vAlign w:val="center"/>
          </w:tcPr>
          <w:p w14:paraId="612136BF">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Nanodrop one</w:t>
            </w:r>
          </w:p>
        </w:tc>
      </w:tr>
      <w:tr w14:paraId="13BEE2EE">
        <w:tblPrEx>
          <w:tblCellMar>
            <w:top w:w="0" w:type="dxa"/>
            <w:left w:w="108" w:type="dxa"/>
            <w:bottom w:w="0" w:type="dxa"/>
            <w:right w:w="108" w:type="dxa"/>
          </w:tblCellMar>
        </w:tblPrEx>
        <w:trPr>
          <w:trHeight w:val="340" w:hRule="atLeast"/>
          <w:jc w:val="center"/>
        </w:trPr>
        <w:tc>
          <w:tcPr>
            <w:tcW w:w="2470" w:type="dxa"/>
            <w:gridSpan w:val="2"/>
            <w:vAlign w:val="center"/>
          </w:tcPr>
          <w:p w14:paraId="793161D1">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Bioanalyzer</w:t>
            </w:r>
          </w:p>
        </w:tc>
        <w:tc>
          <w:tcPr>
            <w:tcW w:w="2211" w:type="dxa"/>
            <w:vAlign w:val="center"/>
          </w:tcPr>
          <w:p w14:paraId="38078178">
            <w:pPr>
              <w:jc w:val="both"/>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Agilent</w:t>
            </w:r>
          </w:p>
        </w:tc>
        <w:tc>
          <w:tcPr>
            <w:tcW w:w="2530" w:type="dxa"/>
            <w:gridSpan w:val="2"/>
            <w:vAlign w:val="center"/>
          </w:tcPr>
          <w:p w14:paraId="394F6848">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2 100</w:t>
            </w:r>
          </w:p>
        </w:tc>
      </w:tr>
      <w:tr w14:paraId="3D0FE1CF">
        <w:tblPrEx>
          <w:tblCellMar>
            <w:top w:w="0" w:type="dxa"/>
            <w:left w:w="108" w:type="dxa"/>
            <w:bottom w:w="0" w:type="dxa"/>
            <w:right w:w="108" w:type="dxa"/>
          </w:tblCellMar>
        </w:tblPrEx>
        <w:trPr>
          <w:trHeight w:val="340" w:hRule="atLeast"/>
          <w:jc w:val="center"/>
        </w:trPr>
        <w:tc>
          <w:tcPr>
            <w:tcW w:w="2470" w:type="dxa"/>
            <w:gridSpan w:val="2"/>
            <w:vAlign w:val="center"/>
          </w:tcPr>
          <w:p w14:paraId="141323EF">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PCR appearance</w:t>
            </w:r>
          </w:p>
        </w:tc>
        <w:tc>
          <w:tcPr>
            <w:tcW w:w="2211" w:type="dxa"/>
            <w:vAlign w:val="center"/>
          </w:tcPr>
          <w:p w14:paraId="22BF2AE2">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Thermo Fisher</w:t>
            </w:r>
          </w:p>
        </w:tc>
        <w:tc>
          <w:tcPr>
            <w:tcW w:w="2530" w:type="dxa"/>
            <w:gridSpan w:val="2"/>
            <w:vAlign w:val="center"/>
          </w:tcPr>
          <w:p w14:paraId="4E82298C">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Veriti 96well</w:t>
            </w:r>
          </w:p>
        </w:tc>
      </w:tr>
      <w:tr w14:paraId="5D9E27E4">
        <w:tblPrEx>
          <w:tblCellMar>
            <w:top w:w="0" w:type="dxa"/>
            <w:left w:w="108" w:type="dxa"/>
            <w:bottom w:w="0" w:type="dxa"/>
            <w:right w:w="108" w:type="dxa"/>
          </w:tblCellMar>
        </w:tblPrEx>
        <w:trPr>
          <w:trHeight w:val="340" w:hRule="atLeast"/>
          <w:jc w:val="center"/>
        </w:trPr>
        <w:tc>
          <w:tcPr>
            <w:tcW w:w="2470" w:type="dxa"/>
            <w:gridSpan w:val="2"/>
            <w:vAlign w:val="center"/>
          </w:tcPr>
          <w:p w14:paraId="51141B16">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Automatic pipetting workstation</w:t>
            </w:r>
          </w:p>
        </w:tc>
        <w:tc>
          <w:tcPr>
            <w:tcW w:w="2211" w:type="dxa"/>
            <w:vAlign w:val="center"/>
          </w:tcPr>
          <w:p w14:paraId="5BE42D27">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Apricot Designs</w:t>
            </w:r>
          </w:p>
        </w:tc>
        <w:tc>
          <w:tcPr>
            <w:tcW w:w="2530" w:type="dxa"/>
            <w:gridSpan w:val="2"/>
            <w:vAlign w:val="center"/>
          </w:tcPr>
          <w:p w14:paraId="4957FE73">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S-Pipette S2</w:t>
            </w:r>
          </w:p>
        </w:tc>
      </w:tr>
      <w:tr w14:paraId="0FA96007">
        <w:tblPrEx>
          <w:tblCellMar>
            <w:top w:w="0" w:type="dxa"/>
            <w:left w:w="108" w:type="dxa"/>
            <w:bottom w:w="0" w:type="dxa"/>
            <w:right w:w="108" w:type="dxa"/>
          </w:tblCellMar>
        </w:tblPrEx>
        <w:trPr>
          <w:trHeight w:val="340" w:hRule="atLeast"/>
          <w:jc w:val="center"/>
        </w:trPr>
        <w:tc>
          <w:tcPr>
            <w:tcW w:w="2470" w:type="dxa"/>
            <w:gridSpan w:val="2"/>
            <w:vAlign w:val="center"/>
          </w:tcPr>
          <w:p w14:paraId="6644D8EE">
            <w:pPr>
              <w:jc w:val="both"/>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Plate centrifuge</w:t>
            </w:r>
          </w:p>
        </w:tc>
        <w:tc>
          <w:tcPr>
            <w:tcW w:w="2211" w:type="dxa"/>
            <w:vAlign w:val="center"/>
          </w:tcPr>
          <w:p w14:paraId="1C97C4F7">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C ENCE</w:t>
            </w:r>
          </w:p>
        </w:tc>
        <w:tc>
          <w:tcPr>
            <w:tcW w:w="2530" w:type="dxa"/>
            <w:gridSpan w:val="2"/>
            <w:vAlign w:val="center"/>
          </w:tcPr>
          <w:p w14:paraId="20A04940">
            <w:pPr>
              <w:jc w:val="both"/>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L530</w:t>
            </w:r>
          </w:p>
        </w:tc>
      </w:tr>
      <w:tr w14:paraId="05F5B68B">
        <w:tblPrEx>
          <w:tblCellMar>
            <w:top w:w="0" w:type="dxa"/>
            <w:left w:w="108" w:type="dxa"/>
            <w:bottom w:w="0" w:type="dxa"/>
            <w:right w:w="108" w:type="dxa"/>
          </w:tblCellMar>
        </w:tblPrEx>
        <w:trPr>
          <w:trHeight w:val="340" w:hRule="atLeast"/>
          <w:jc w:val="center"/>
        </w:trPr>
        <w:tc>
          <w:tcPr>
            <w:tcW w:w="2470" w:type="dxa"/>
            <w:gridSpan w:val="2"/>
            <w:tcBorders>
              <w:bottom w:val="single" w:color="auto" w:sz="4" w:space="0"/>
            </w:tcBorders>
            <w:vAlign w:val="center"/>
          </w:tcPr>
          <w:p w14:paraId="0A2F3069">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Quantitative real-time PCR instrument</w:t>
            </w:r>
          </w:p>
        </w:tc>
        <w:tc>
          <w:tcPr>
            <w:tcW w:w="2211" w:type="dxa"/>
            <w:tcBorders>
              <w:bottom w:val="single" w:color="auto" w:sz="4" w:space="0"/>
            </w:tcBorders>
            <w:vAlign w:val="center"/>
          </w:tcPr>
          <w:p w14:paraId="6DBF030A">
            <w:pPr>
              <w:jc w:val="both"/>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rPr>
              <w:t>Roche</w:t>
            </w:r>
          </w:p>
        </w:tc>
        <w:tc>
          <w:tcPr>
            <w:tcW w:w="2530" w:type="dxa"/>
            <w:gridSpan w:val="2"/>
            <w:tcBorders>
              <w:bottom w:val="single" w:color="auto" w:sz="4" w:space="0"/>
            </w:tcBorders>
            <w:vAlign w:val="center"/>
          </w:tcPr>
          <w:p w14:paraId="4A97BF93">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LightCycler® 480II</w:t>
            </w:r>
          </w:p>
        </w:tc>
      </w:tr>
    </w:tbl>
    <w:p w14:paraId="527F748D">
      <w:pPr>
        <w:spacing w:before="120" w:beforeLines="50" w:after="120" w:afterLines="50" w:line="360" w:lineRule="auto"/>
        <w:jc w:val="both"/>
        <w:rPr>
          <w:rFonts w:ascii="Times New Roman" w:hAnsi="Times New Roman" w:eastAsia="宋体"/>
          <w:b/>
          <w:color w:val="auto"/>
          <w:sz w:val="28"/>
          <w:szCs w:val="28"/>
          <w:highlight w:val="none"/>
          <w:lang w:eastAsia="zh-CN"/>
        </w:rPr>
      </w:pPr>
    </w:p>
    <w:p w14:paraId="02BB84E8">
      <w:pPr>
        <w:spacing w:before="120" w:beforeLines="50" w:after="120" w:afterLines="50" w:line="360" w:lineRule="auto"/>
        <w:jc w:val="both"/>
        <w:rPr>
          <w:rFonts w:ascii="Times New Roman" w:hAnsi="Times New Roman" w:eastAsia="宋体"/>
          <w:b/>
          <w:color w:val="auto"/>
          <w:sz w:val="28"/>
          <w:szCs w:val="28"/>
          <w:highlight w:val="none"/>
          <w:lang w:eastAsia="zh-CN"/>
        </w:rPr>
      </w:pPr>
      <w:r>
        <w:rPr>
          <w:rFonts w:hint="eastAsia" w:ascii="Times New Roman" w:hAnsi="Times New Roman" w:eastAsia="宋体"/>
          <w:b/>
          <w:color w:val="auto"/>
          <w:sz w:val="28"/>
          <w:szCs w:val="28"/>
          <w:highlight w:val="none"/>
          <w:lang w:eastAsia="zh-CN"/>
        </w:rPr>
        <w:t>3. Experimental reagents</w:t>
      </w:r>
    </w:p>
    <w:bookmarkEnd w:id="4"/>
    <w:p w14:paraId="1A0D0045">
      <w:pPr>
        <w:jc w:val="both"/>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Experimental reagents</w:t>
      </w:r>
    </w:p>
    <w:tbl>
      <w:tblPr>
        <w:tblStyle w:val="8"/>
        <w:tblW w:w="9010" w:type="dxa"/>
        <w:jc w:val="center"/>
        <w:tblLayout w:type="fixed"/>
        <w:tblCellMar>
          <w:top w:w="0" w:type="dxa"/>
          <w:left w:w="108" w:type="dxa"/>
          <w:bottom w:w="0" w:type="dxa"/>
          <w:right w:w="108" w:type="dxa"/>
        </w:tblCellMar>
      </w:tblPr>
      <w:tblGrid>
        <w:gridCol w:w="4536"/>
        <w:gridCol w:w="52"/>
        <w:gridCol w:w="2142"/>
        <w:gridCol w:w="69"/>
        <w:gridCol w:w="2211"/>
      </w:tblGrid>
      <w:tr w14:paraId="6A3B2424">
        <w:tblPrEx>
          <w:tblCellMar>
            <w:top w:w="0" w:type="dxa"/>
            <w:left w:w="108" w:type="dxa"/>
            <w:bottom w:w="0" w:type="dxa"/>
            <w:right w:w="108" w:type="dxa"/>
          </w:tblCellMar>
        </w:tblPrEx>
        <w:trPr>
          <w:trHeight w:val="340" w:hRule="atLeast"/>
          <w:jc w:val="center"/>
        </w:trPr>
        <w:tc>
          <w:tcPr>
            <w:tcW w:w="4536" w:type="dxa"/>
            <w:tcBorders>
              <w:top w:val="single" w:color="auto" w:sz="4" w:space="0"/>
              <w:left w:val="nil"/>
              <w:bottom w:val="single" w:color="auto" w:sz="4" w:space="0"/>
              <w:right w:val="nil"/>
            </w:tcBorders>
            <w:vAlign w:val="center"/>
          </w:tcPr>
          <w:p w14:paraId="5C706525">
            <w:pPr>
              <w:jc w:val="both"/>
              <w:rPr>
                <w:rFonts w:ascii="Times New Roman" w:hAnsi="Times New Roman" w:eastAsia="宋体"/>
                <w:color w:val="auto"/>
                <w:sz w:val="24"/>
                <w:szCs w:val="24"/>
                <w:highlight w:val="none"/>
              </w:rPr>
            </w:pPr>
            <w:bookmarkStart w:id="5" w:name="_Hlk91085226"/>
            <w:r>
              <w:rPr>
                <w:rFonts w:hint="eastAsia" w:ascii="Times New Roman" w:hAnsi="Times New Roman" w:eastAsia="宋体"/>
                <w:color w:val="auto"/>
                <w:sz w:val="24"/>
                <w:szCs w:val="24"/>
                <w:highlight w:val="none"/>
              </w:rPr>
              <w:t>name</w:t>
            </w:r>
          </w:p>
        </w:tc>
        <w:tc>
          <w:tcPr>
            <w:tcW w:w="2194" w:type="dxa"/>
            <w:gridSpan w:val="2"/>
            <w:tcBorders>
              <w:top w:val="single" w:color="auto" w:sz="4" w:space="0"/>
              <w:left w:val="nil"/>
              <w:bottom w:val="single" w:color="auto" w:sz="4" w:space="0"/>
              <w:right w:val="nil"/>
            </w:tcBorders>
            <w:vAlign w:val="center"/>
          </w:tcPr>
          <w:p w14:paraId="4885307A">
            <w:pPr>
              <w:jc w:val="both"/>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company</w:t>
            </w:r>
          </w:p>
        </w:tc>
        <w:tc>
          <w:tcPr>
            <w:tcW w:w="2280" w:type="dxa"/>
            <w:gridSpan w:val="2"/>
            <w:tcBorders>
              <w:top w:val="single" w:color="auto" w:sz="4" w:space="0"/>
              <w:left w:val="nil"/>
              <w:bottom w:val="single" w:color="auto" w:sz="4" w:space="0"/>
              <w:right w:val="nil"/>
            </w:tcBorders>
            <w:vAlign w:val="center"/>
          </w:tcPr>
          <w:p w14:paraId="435982CB">
            <w:pPr>
              <w:jc w:val="both"/>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Art.No</w:t>
            </w:r>
          </w:p>
        </w:tc>
      </w:tr>
      <w:tr w14:paraId="19B34597">
        <w:tblPrEx>
          <w:tblCellMar>
            <w:top w:w="0" w:type="dxa"/>
            <w:left w:w="108" w:type="dxa"/>
            <w:bottom w:w="0" w:type="dxa"/>
            <w:right w:w="108" w:type="dxa"/>
          </w:tblCellMar>
        </w:tblPrEx>
        <w:trPr>
          <w:trHeight w:val="340" w:hRule="atLeast"/>
          <w:jc w:val="center"/>
        </w:trPr>
        <w:tc>
          <w:tcPr>
            <w:tcW w:w="4588" w:type="dxa"/>
            <w:gridSpan w:val="2"/>
            <w:tcBorders>
              <w:top w:val="nil"/>
              <w:left w:val="nil"/>
              <w:bottom w:val="nil"/>
              <w:right w:val="nil"/>
            </w:tcBorders>
            <w:vAlign w:val="center"/>
          </w:tcPr>
          <w:p w14:paraId="720C1716">
            <w:pPr>
              <w:jc w:val="both"/>
              <w:rPr>
                <w:rFonts w:ascii="Times New Roman" w:hAnsi="Times New Roman" w:eastAsia="宋体"/>
                <w:color w:val="auto"/>
                <w:sz w:val="24"/>
                <w:szCs w:val="24"/>
                <w:highlight w:val="none"/>
                <w:lang w:eastAsia="zh-CN"/>
              </w:rPr>
            </w:pPr>
            <w:bookmarkStart w:id="6" w:name="_Hlk90044840"/>
            <w:r>
              <w:rPr>
                <w:rFonts w:ascii="Times New Roman" w:hAnsi="Times New Roman" w:eastAsia="宋体"/>
                <w:color w:val="auto"/>
                <w:sz w:val="24"/>
                <w:szCs w:val="24"/>
                <w:highlight w:val="none"/>
                <w:lang w:eastAsia="zh-CN"/>
              </w:rPr>
              <w:t>And 1-bromine-3-chloropropane</w:t>
            </w:r>
            <w:bookmarkEnd w:id="6"/>
          </w:p>
        </w:tc>
        <w:tc>
          <w:tcPr>
            <w:tcW w:w="2211" w:type="dxa"/>
            <w:gridSpan w:val="2"/>
            <w:tcBorders>
              <w:top w:val="nil"/>
              <w:left w:val="nil"/>
              <w:bottom w:val="nil"/>
              <w:right w:val="nil"/>
            </w:tcBorders>
            <w:vAlign w:val="center"/>
          </w:tcPr>
          <w:p w14:paraId="457682C1">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Sigma</w:t>
            </w:r>
          </w:p>
        </w:tc>
        <w:tc>
          <w:tcPr>
            <w:tcW w:w="2211" w:type="dxa"/>
            <w:tcBorders>
              <w:top w:val="nil"/>
              <w:left w:val="nil"/>
              <w:bottom w:val="nil"/>
              <w:right w:val="nil"/>
            </w:tcBorders>
            <w:vAlign w:val="center"/>
          </w:tcPr>
          <w:p w14:paraId="471B854E">
            <w:pPr>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B9673-200ML</w:t>
            </w:r>
          </w:p>
        </w:tc>
      </w:tr>
      <w:tr w14:paraId="6CC47026">
        <w:tblPrEx>
          <w:tblCellMar>
            <w:top w:w="0" w:type="dxa"/>
            <w:left w:w="108" w:type="dxa"/>
            <w:bottom w:w="0" w:type="dxa"/>
            <w:right w:w="108" w:type="dxa"/>
          </w:tblCellMar>
        </w:tblPrEx>
        <w:trPr>
          <w:trHeight w:val="340" w:hRule="atLeast"/>
          <w:jc w:val="center"/>
        </w:trPr>
        <w:tc>
          <w:tcPr>
            <w:tcW w:w="4588" w:type="dxa"/>
            <w:gridSpan w:val="2"/>
            <w:tcBorders>
              <w:top w:val="nil"/>
              <w:left w:val="nil"/>
              <w:bottom w:val="nil"/>
              <w:right w:val="nil"/>
            </w:tcBorders>
            <w:vAlign w:val="center"/>
          </w:tcPr>
          <w:p w14:paraId="60A02AF0">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isopropanol</w:t>
            </w:r>
          </w:p>
        </w:tc>
        <w:tc>
          <w:tcPr>
            <w:tcW w:w="2211" w:type="dxa"/>
            <w:gridSpan w:val="2"/>
            <w:tcBorders>
              <w:top w:val="nil"/>
              <w:left w:val="nil"/>
              <w:bottom w:val="nil"/>
              <w:right w:val="nil"/>
            </w:tcBorders>
            <w:vAlign w:val="center"/>
          </w:tcPr>
          <w:p w14:paraId="0C764684">
            <w:pPr>
              <w:jc w:val="both"/>
              <w:rPr>
                <w:rFonts w:ascii="Times New Roman" w:hAnsi="Times New Roman" w:eastAsia="宋体"/>
                <w:color w:val="auto"/>
                <w:sz w:val="24"/>
                <w:szCs w:val="24"/>
                <w:highlight w:val="none"/>
                <w:lang w:eastAsia="zh-CN"/>
              </w:rPr>
            </w:pPr>
            <w:r>
              <w:rPr>
                <w:rFonts w:ascii="Times New Roman" w:hAnsi="Times New Roman" w:eastAsia="宋体"/>
                <w:color w:val="auto"/>
                <w:highlight w:val="none"/>
              </w:rPr>
              <w:t>SINOPHARM</w:t>
            </w:r>
          </w:p>
        </w:tc>
        <w:tc>
          <w:tcPr>
            <w:tcW w:w="2211" w:type="dxa"/>
            <w:tcBorders>
              <w:top w:val="nil"/>
              <w:left w:val="nil"/>
              <w:bottom w:val="nil"/>
              <w:right w:val="nil"/>
            </w:tcBorders>
            <w:vAlign w:val="center"/>
          </w:tcPr>
          <w:p w14:paraId="7806908B">
            <w:pPr>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80109218</w:t>
            </w:r>
          </w:p>
        </w:tc>
      </w:tr>
      <w:tr w14:paraId="3F127758">
        <w:tblPrEx>
          <w:tblCellMar>
            <w:top w:w="0" w:type="dxa"/>
            <w:left w:w="108" w:type="dxa"/>
            <w:bottom w:w="0" w:type="dxa"/>
            <w:right w:w="108" w:type="dxa"/>
          </w:tblCellMar>
        </w:tblPrEx>
        <w:trPr>
          <w:trHeight w:val="340" w:hRule="atLeast"/>
          <w:jc w:val="center"/>
        </w:trPr>
        <w:tc>
          <w:tcPr>
            <w:tcW w:w="4588" w:type="dxa"/>
            <w:gridSpan w:val="2"/>
            <w:tcBorders>
              <w:top w:val="nil"/>
              <w:left w:val="nil"/>
              <w:bottom w:val="nil"/>
              <w:right w:val="nil"/>
            </w:tcBorders>
            <w:vAlign w:val="center"/>
          </w:tcPr>
          <w:p w14:paraId="74FF9D1A">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75% Ethanol</w:t>
            </w:r>
          </w:p>
        </w:tc>
        <w:tc>
          <w:tcPr>
            <w:tcW w:w="2211" w:type="dxa"/>
            <w:gridSpan w:val="2"/>
            <w:tcBorders>
              <w:top w:val="nil"/>
              <w:left w:val="nil"/>
              <w:bottom w:val="nil"/>
              <w:right w:val="nil"/>
            </w:tcBorders>
            <w:vAlign w:val="center"/>
          </w:tcPr>
          <w:p w14:paraId="00A6B7C5">
            <w:pPr>
              <w:jc w:val="both"/>
              <w:rPr>
                <w:rFonts w:ascii="Times New Roman" w:hAnsi="Times New Roman" w:eastAsia="宋体"/>
                <w:color w:val="auto"/>
                <w:sz w:val="24"/>
                <w:szCs w:val="24"/>
                <w:highlight w:val="none"/>
                <w:lang w:eastAsia="zh-CN"/>
              </w:rPr>
            </w:pPr>
            <w:r>
              <w:rPr>
                <w:rFonts w:ascii="Times New Roman" w:hAnsi="Times New Roman" w:eastAsia="宋体"/>
                <w:color w:val="auto"/>
                <w:highlight w:val="none"/>
              </w:rPr>
              <w:t>SINOPHARM</w:t>
            </w:r>
          </w:p>
        </w:tc>
        <w:tc>
          <w:tcPr>
            <w:tcW w:w="2211" w:type="dxa"/>
            <w:tcBorders>
              <w:top w:val="nil"/>
              <w:left w:val="nil"/>
              <w:bottom w:val="nil"/>
              <w:right w:val="nil"/>
            </w:tcBorders>
            <w:vAlign w:val="center"/>
          </w:tcPr>
          <w:p w14:paraId="53C26810">
            <w:pPr>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olor w:val="auto"/>
                <w:sz w:val="24"/>
                <w:szCs w:val="24"/>
                <w:highlight w:val="none"/>
                <w:lang w:eastAsia="zh-CN"/>
              </w:rPr>
              <w:t>80176961</w:t>
            </w:r>
          </w:p>
        </w:tc>
      </w:tr>
      <w:tr w14:paraId="2E305790">
        <w:tblPrEx>
          <w:tblCellMar>
            <w:top w:w="0" w:type="dxa"/>
            <w:left w:w="108" w:type="dxa"/>
            <w:bottom w:w="0" w:type="dxa"/>
            <w:right w:w="108" w:type="dxa"/>
          </w:tblCellMar>
        </w:tblPrEx>
        <w:trPr>
          <w:trHeight w:val="340" w:hRule="atLeast"/>
          <w:jc w:val="center"/>
        </w:trPr>
        <w:tc>
          <w:tcPr>
            <w:tcW w:w="4588" w:type="dxa"/>
            <w:gridSpan w:val="2"/>
            <w:tcBorders>
              <w:top w:val="nil"/>
              <w:left w:val="nil"/>
              <w:bottom w:val="nil"/>
              <w:right w:val="nil"/>
            </w:tcBorders>
            <w:vAlign w:val="center"/>
          </w:tcPr>
          <w:p w14:paraId="75A23889">
            <w:pPr>
              <w:jc w:val="both"/>
              <w:rPr>
                <w:rFonts w:ascii="Times New Roman" w:hAnsi="Times New Roman" w:eastAsia="宋体"/>
                <w:color w:val="auto"/>
                <w:sz w:val="24"/>
                <w:szCs w:val="24"/>
                <w:highlight w:val="none"/>
                <w:lang w:eastAsia="zh-CN"/>
              </w:rPr>
            </w:pPr>
            <w:r>
              <w:rPr>
                <w:rFonts w:hint="eastAsia" w:ascii="Times New Roman" w:hAnsi="Times New Roman" w:eastAsia="宋体" w:cs="Times New Roman"/>
                <w:color w:val="auto"/>
                <w:sz w:val="24"/>
                <w:szCs w:val="24"/>
                <w:highlight w:val="none"/>
              </w:rPr>
              <w:t>Trizol</w:t>
            </w:r>
          </w:p>
        </w:tc>
        <w:tc>
          <w:tcPr>
            <w:tcW w:w="2211" w:type="dxa"/>
            <w:gridSpan w:val="2"/>
            <w:tcBorders>
              <w:top w:val="nil"/>
              <w:left w:val="nil"/>
              <w:bottom w:val="nil"/>
              <w:right w:val="nil"/>
            </w:tcBorders>
            <w:vAlign w:val="center"/>
          </w:tcPr>
          <w:p w14:paraId="65556E5E">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Sigma</w:t>
            </w:r>
          </w:p>
        </w:tc>
        <w:tc>
          <w:tcPr>
            <w:tcW w:w="2211" w:type="dxa"/>
            <w:tcBorders>
              <w:top w:val="nil"/>
              <w:left w:val="nil"/>
              <w:bottom w:val="nil"/>
              <w:right w:val="nil"/>
            </w:tcBorders>
            <w:vAlign w:val="center"/>
          </w:tcPr>
          <w:p w14:paraId="755E104F">
            <w:pPr>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T9424-100ML</w:t>
            </w:r>
          </w:p>
        </w:tc>
      </w:tr>
      <w:tr w14:paraId="319B8592">
        <w:tblPrEx>
          <w:tblCellMar>
            <w:top w:w="0" w:type="dxa"/>
            <w:left w:w="108" w:type="dxa"/>
            <w:bottom w:w="0" w:type="dxa"/>
            <w:right w:w="108" w:type="dxa"/>
          </w:tblCellMar>
        </w:tblPrEx>
        <w:trPr>
          <w:trHeight w:val="340" w:hRule="atLeast"/>
          <w:jc w:val="center"/>
        </w:trPr>
        <w:tc>
          <w:tcPr>
            <w:tcW w:w="4588" w:type="dxa"/>
            <w:gridSpan w:val="2"/>
            <w:tcBorders>
              <w:top w:val="nil"/>
              <w:left w:val="nil"/>
              <w:bottom w:val="nil"/>
              <w:right w:val="nil"/>
            </w:tcBorders>
            <w:vAlign w:val="center"/>
          </w:tcPr>
          <w:p w14:paraId="44F56615">
            <w:pPr>
              <w:jc w:val="both"/>
              <w:rPr>
                <w:rFonts w:ascii="Times New Roman" w:hAnsi="Times New Roman" w:eastAsia="宋体" w:cs="Times New Roman"/>
                <w:color w:val="auto"/>
                <w:sz w:val="24"/>
                <w:szCs w:val="24"/>
                <w:highlight w:val="none"/>
              </w:rPr>
            </w:pPr>
            <w:r>
              <w:rPr>
                <w:rFonts w:hint="eastAsia" w:ascii="Times New Roman" w:hAnsi="Times New Roman" w:eastAsia="宋体"/>
                <w:color w:val="auto"/>
                <w:sz w:val="24"/>
                <w:szCs w:val="24"/>
                <w:highlight w:val="none"/>
                <w:lang w:eastAsia="zh-CN"/>
              </w:rPr>
              <w:t>water</w:t>
            </w:r>
          </w:p>
        </w:tc>
        <w:tc>
          <w:tcPr>
            <w:tcW w:w="2211" w:type="dxa"/>
            <w:gridSpan w:val="2"/>
            <w:tcBorders>
              <w:top w:val="nil"/>
              <w:left w:val="nil"/>
              <w:bottom w:val="nil"/>
              <w:right w:val="nil"/>
            </w:tcBorders>
            <w:vAlign w:val="center"/>
          </w:tcPr>
          <w:p w14:paraId="62F6F1B7">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Sigma</w:t>
            </w:r>
          </w:p>
        </w:tc>
        <w:tc>
          <w:tcPr>
            <w:tcW w:w="2211" w:type="dxa"/>
            <w:tcBorders>
              <w:top w:val="nil"/>
              <w:left w:val="nil"/>
              <w:bottom w:val="nil"/>
              <w:right w:val="nil"/>
            </w:tcBorders>
            <w:vAlign w:val="center"/>
          </w:tcPr>
          <w:p w14:paraId="3553D33B">
            <w:pPr>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olor w:val="auto"/>
                <w:sz w:val="24"/>
                <w:szCs w:val="24"/>
                <w:highlight w:val="none"/>
                <w:lang w:eastAsia="zh-CN"/>
              </w:rPr>
              <w:t>W4502</w:t>
            </w:r>
          </w:p>
        </w:tc>
      </w:tr>
      <w:tr w14:paraId="5E1E2079">
        <w:tblPrEx>
          <w:tblCellMar>
            <w:top w:w="0" w:type="dxa"/>
            <w:left w:w="108" w:type="dxa"/>
            <w:bottom w:w="0" w:type="dxa"/>
            <w:right w:w="108" w:type="dxa"/>
          </w:tblCellMar>
        </w:tblPrEx>
        <w:trPr>
          <w:trHeight w:val="340" w:hRule="atLeast"/>
          <w:jc w:val="center"/>
        </w:trPr>
        <w:tc>
          <w:tcPr>
            <w:tcW w:w="4588" w:type="dxa"/>
            <w:gridSpan w:val="2"/>
            <w:tcBorders>
              <w:top w:val="nil"/>
              <w:left w:val="nil"/>
              <w:bottom w:val="nil"/>
              <w:right w:val="nil"/>
            </w:tcBorders>
            <w:vAlign w:val="center"/>
          </w:tcPr>
          <w:p w14:paraId="60F9426C">
            <w:pPr>
              <w:jc w:val="both"/>
              <w:rPr>
                <w:rFonts w:ascii="Times New Roman" w:hAnsi="Times New Roman" w:eastAsia="宋体"/>
                <w:color w:val="auto"/>
                <w:sz w:val="24"/>
                <w:szCs w:val="24"/>
                <w:highlight w:val="none"/>
                <w:lang w:eastAsia="zh-CN"/>
              </w:rPr>
            </w:pPr>
            <w:r>
              <w:rPr>
                <w:rStyle w:val="19"/>
                <w:rFonts w:hint="default" w:ascii="Times New Roman" w:hAnsi="Times New Roman"/>
                <w:color w:val="auto"/>
                <w:highlight w:val="none"/>
                <w:lang w:eastAsia="zh-CN"/>
              </w:rPr>
              <w:t>RNase-Free DNase I</w:t>
            </w:r>
          </w:p>
        </w:tc>
        <w:tc>
          <w:tcPr>
            <w:tcW w:w="2211" w:type="dxa"/>
            <w:gridSpan w:val="2"/>
            <w:tcBorders>
              <w:top w:val="nil"/>
              <w:left w:val="nil"/>
              <w:bottom w:val="nil"/>
              <w:right w:val="nil"/>
            </w:tcBorders>
            <w:vAlign w:val="center"/>
          </w:tcPr>
          <w:p w14:paraId="7FCA7622">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TIANGEN</w:t>
            </w:r>
          </w:p>
        </w:tc>
        <w:tc>
          <w:tcPr>
            <w:tcW w:w="2211" w:type="dxa"/>
            <w:tcBorders>
              <w:top w:val="nil"/>
              <w:left w:val="nil"/>
              <w:bottom w:val="nil"/>
              <w:right w:val="nil"/>
            </w:tcBorders>
            <w:vAlign w:val="center"/>
          </w:tcPr>
          <w:p w14:paraId="71852EEE">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RT411</w:t>
            </w:r>
          </w:p>
        </w:tc>
      </w:tr>
      <w:tr w14:paraId="0ADEECCE">
        <w:tblPrEx>
          <w:tblCellMar>
            <w:top w:w="0" w:type="dxa"/>
            <w:left w:w="108" w:type="dxa"/>
            <w:bottom w:w="0" w:type="dxa"/>
            <w:right w:w="108" w:type="dxa"/>
          </w:tblCellMar>
        </w:tblPrEx>
        <w:trPr>
          <w:trHeight w:val="340" w:hRule="atLeast"/>
          <w:jc w:val="center"/>
        </w:trPr>
        <w:tc>
          <w:tcPr>
            <w:tcW w:w="4588" w:type="dxa"/>
            <w:gridSpan w:val="2"/>
            <w:tcBorders>
              <w:top w:val="nil"/>
              <w:left w:val="nil"/>
              <w:bottom w:val="nil"/>
              <w:right w:val="nil"/>
            </w:tcBorders>
            <w:vAlign w:val="center"/>
          </w:tcPr>
          <w:p w14:paraId="6051FD5F">
            <w:pPr>
              <w:jc w:val="both"/>
              <w:rPr>
                <w:rFonts w:ascii="Times New Roman" w:hAnsi="Times New Roman" w:eastAsia="宋体" w:cs="Times New Roman"/>
                <w:color w:val="auto"/>
                <w:sz w:val="24"/>
                <w:szCs w:val="24"/>
                <w:highlight w:val="none"/>
              </w:rPr>
            </w:pPr>
            <w:r>
              <w:rPr>
                <w:rFonts w:hint="eastAsia" w:ascii="Times New Roman" w:hAnsi="Times New Roman" w:eastAsia="宋体"/>
                <w:color w:val="auto"/>
                <w:sz w:val="24"/>
                <w:szCs w:val="24"/>
                <w:highlight w:val="none"/>
              </w:rPr>
              <w:t>PrimeScript™ RT Master Mix (Perfect Real Time)</w:t>
            </w:r>
          </w:p>
        </w:tc>
        <w:tc>
          <w:tcPr>
            <w:tcW w:w="2211" w:type="dxa"/>
            <w:gridSpan w:val="2"/>
            <w:tcBorders>
              <w:top w:val="nil"/>
              <w:left w:val="nil"/>
              <w:bottom w:val="nil"/>
              <w:right w:val="nil"/>
            </w:tcBorders>
            <w:vAlign w:val="center"/>
          </w:tcPr>
          <w:p w14:paraId="7DFF1B43">
            <w:pPr>
              <w:jc w:val="both"/>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TaKaRa</w:t>
            </w:r>
          </w:p>
        </w:tc>
        <w:tc>
          <w:tcPr>
            <w:tcW w:w="2211" w:type="dxa"/>
            <w:tcBorders>
              <w:top w:val="nil"/>
              <w:left w:val="nil"/>
              <w:bottom w:val="nil"/>
              <w:right w:val="nil"/>
            </w:tcBorders>
            <w:vAlign w:val="center"/>
          </w:tcPr>
          <w:p w14:paraId="587E1230">
            <w:pPr>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olor w:val="auto"/>
                <w:sz w:val="24"/>
                <w:szCs w:val="24"/>
                <w:highlight w:val="none"/>
                <w:lang w:eastAsia="zh-CN"/>
              </w:rPr>
              <w:t>RR036A</w:t>
            </w:r>
          </w:p>
        </w:tc>
      </w:tr>
      <w:tr w14:paraId="79577C61">
        <w:tblPrEx>
          <w:tblCellMar>
            <w:top w:w="0" w:type="dxa"/>
            <w:left w:w="108" w:type="dxa"/>
            <w:bottom w:w="0" w:type="dxa"/>
            <w:right w:w="108" w:type="dxa"/>
          </w:tblCellMar>
        </w:tblPrEx>
        <w:trPr>
          <w:trHeight w:val="340" w:hRule="atLeast"/>
          <w:jc w:val="center"/>
        </w:trPr>
        <w:tc>
          <w:tcPr>
            <w:tcW w:w="4588" w:type="dxa"/>
            <w:gridSpan w:val="2"/>
            <w:tcBorders>
              <w:top w:val="nil"/>
              <w:left w:val="nil"/>
              <w:bottom w:val="nil"/>
              <w:right w:val="nil"/>
            </w:tcBorders>
            <w:vAlign w:val="center"/>
          </w:tcPr>
          <w:p w14:paraId="402B3D70">
            <w:pPr>
              <w:jc w:val="both"/>
              <w:rPr>
                <w:rFonts w:ascii="Times New Roman" w:hAnsi="Times New Roman" w:eastAsia="宋体" w:cs="Times New Roman"/>
                <w:color w:val="auto"/>
                <w:sz w:val="24"/>
                <w:szCs w:val="24"/>
                <w:highlight w:val="none"/>
              </w:rPr>
            </w:pPr>
            <w:r>
              <w:rPr>
                <w:rFonts w:ascii="Times New Roman" w:hAnsi="Times New Roman" w:eastAsia="宋体"/>
                <w:color w:val="auto"/>
                <w:sz w:val="24"/>
                <w:szCs w:val="24"/>
                <w:highlight w:val="none"/>
              </w:rPr>
              <w:t>ChamQ Universal SYBR qPCR Master Mix</w:t>
            </w:r>
          </w:p>
        </w:tc>
        <w:tc>
          <w:tcPr>
            <w:tcW w:w="2211" w:type="dxa"/>
            <w:gridSpan w:val="2"/>
            <w:tcBorders>
              <w:top w:val="nil"/>
              <w:left w:val="nil"/>
              <w:bottom w:val="nil"/>
              <w:right w:val="nil"/>
            </w:tcBorders>
            <w:vAlign w:val="center"/>
          </w:tcPr>
          <w:p w14:paraId="2907F58E">
            <w:pPr>
              <w:jc w:val="both"/>
              <w:rPr>
                <w:rFonts w:ascii="Times New Roman" w:hAnsi="Times New Roman" w:eastAsia="宋体"/>
                <w:color w:val="auto"/>
                <w:sz w:val="24"/>
                <w:szCs w:val="24"/>
                <w:highlight w:val="none"/>
                <w:lang w:eastAsia="zh-CN"/>
              </w:rPr>
            </w:pPr>
            <w:r>
              <w:rPr>
                <w:rFonts w:ascii="Times New Roman" w:hAnsi="Times New Roman" w:eastAsia="宋体"/>
                <w:color w:val="auto"/>
                <w:highlight w:val="none"/>
              </w:rPr>
              <w:t>Vazyme</w:t>
            </w:r>
          </w:p>
        </w:tc>
        <w:tc>
          <w:tcPr>
            <w:tcW w:w="2211" w:type="dxa"/>
            <w:tcBorders>
              <w:top w:val="nil"/>
              <w:left w:val="nil"/>
              <w:bottom w:val="nil"/>
              <w:right w:val="nil"/>
            </w:tcBorders>
            <w:vAlign w:val="center"/>
          </w:tcPr>
          <w:p w14:paraId="0A764968">
            <w:pPr>
              <w:jc w:val="both"/>
              <w:rPr>
                <w:rFonts w:ascii="Times New Roman" w:hAnsi="Times New Roman" w:eastAsia="宋体" w:cs="Times New Roman"/>
                <w:color w:val="auto"/>
                <w:sz w:val="24"/>
                <w:szCs w:val="24"/>
                <w:highlight w:val="none"/>
                <w:lang w:eastAsia="zh-CN"/>
              </w:rPr>
            </w:pPr>
            <w:r>
              <w:rPr>
                <w:rFonts w:ascii="Times New Roman" w:hAnsi="Times New Roman" w:eastAsia="宋体"/>
                <w:color w:val="auto"/>
                <w:sz w:val="24"/>
                <w:szCs w:val="24"/>
                <w:highlight w:val="none"/>
                <w:lang w:eastAsia="zh-CN"/>
              </w:rPr>
              <w:t>Q711-02</w:t>
            </w:r>
          </w:p>
        </w:tc>
      </w:tr>
      <w:tr w14:paraId="24005315">
        <w:tblPrEx>
          <w:tblCellMar>
            <w:top w:w="0" w:type="dxa"/>
            <w:left w:w="108" w:type="dxa"/>
            <w:bottom w:w="0" w:type="dxa"/>
            <w:right w:w="108" w:type="dxa"/>
          </w:tblCellMar>
        </w:tblPrEx>
        <w:trPr>
          <w:trHeight w:val="340" w:hRule="atLeast"/>
          <w:jc w:val="center"/>
        </w:trPr>
        <w:tc>
          <w:tcPr>
            <w:tcW w:w="4588" w:type="dxa"/>
            <w:gridSpan w:val="2"/>
            <w:tcBorders>
              <w:top w:val="nil"/>
              <w:left w:val="nil"/>
              <w:bottom w:val="single" w:color="auto" w:sz="4" w:space="0"/>
              <w:right w:val="nil"/>
            </w:tcBorders>
            <w:vAlign w:val="center"/>
          </w:tcPr>
          <w:p w14:paraId="1428BCB3">
            <w:pPr>
              <w:jc w:val="both"/>
              <w:rPr>
                <w:rFonts w:ascii="Times New Roman" w:hAnsi="Times New Roman" w:eastAsia="宋体" w:cs="Times New Roman"/>
                <w:color w:val="auto"/>
                <w:sz w:val="24"/>
                <w:szCs w:val="24"/>
                <w:highlight w:val="none"/>
              </w:rPr>
            </w:pPr>
            <w:r>
              <w:rPr>
                <w:rFonts w:ascii="Times New Roman" w:hAnsi="Times New Roman" w:eastAsia="宋体"/>
                <w:color w:val="auto"/>
                <w:sz w:val="24"/>
                <w:szCs w:val="24"/>
                <w:highlight w:val="none"/>
                <w:lang w:eastAsia="zh-CN"/>
              </w:rPr>
              <w:t>Seal plate film</w:t>
            </w:r>
          </w:p>
        </w:tc>
        <w:tc>
          <w:tcPr>
            <w:tcW w:w="2211" w:type="dxa"/>
            <w:gridSpan w:val="2"/>
            <w:tcBorders>
              <w:top w:val="nil"/>
              <w:left w:val="nil"/>
              <w:bottom w:val="single" w:color="auto" w:sz="4" w:space="0"/>
              <w:right w:val="nil"/>
            </w:tcBorders>
            <w:vAlign w:val="center"/>
          </w:tcPr>
          <w:p w14:paraId="59F2257C">
            <w:pPr>
              <w:jc w:val="both"/>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t>BIO-RAD</w:t>
            </w:r>
          </w:p>
        </w:tc>
        <w:tc>
          <w:tcPr>
            <w:tcW w:w="2211" w:type="dxa"/>
            <w:tcBorders>
              <w:top w:val="nil"/>
              <w:left w:val="nil"/>
              <w:bottom w:val="single" w:color="auto" w:sz="4" w:space="0"/>
              <w:right w:val="nil"/>
            </w:tcBorders>
            <w:vAlign w:val="center"/>
          </w:tcPr>
          <w:p w14:paraId="2FA3C565">
            <w:pPr>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M SD1001</w:t>
            </w:r>
          </w:p>
        </w:tc>
      </w:tr>
      <w:bookmarkEnd w:id="5"/>
    </w:tbl>
    <w:p w14:paraId="74556EF4">
      <w:pPr>
        <w:spacing w:before="120" w:beforeLines="50" w:after="120" w:afterLines="50" w:line="360" w:lineRule="auto"/>
        <w:jc w:val="both"/>
        <w:rPr>
          <w:rFonts w:ascii="Times New Roman" w:hAnsi="Times New Roman" w:eastAsia="宋体"/>
          <w:b/>
          <w:color w:val="auto"/>
          <w:sz w:val="28"/>
          <w:szCs w:val="28"/>
          <w:highlight w:val="none"/>
          <w:lang w:eastAsia="zh-CN"/>
        </w:rPr>
      </w:pPr>
    </w:p>
    <w:p w14:paraId="219D3B83">
      <w:pPr>
        <w:spacing w:before="120" w:beforeLines="50" w:after="120" w:afterLines="50" w:line="360" w:lineRule="auto"/>
        <w:jc w:val="both"/>
        <w:rPr>
          <w:rFonts w:ascii="Times New Roman" w:hAnsi="Times New Roman" w:eastAsia="宋体"/>
          <w:b/>
          <w:color w:val="auto"/>
          <w:sz w:val="28"/>
          <w:szCs w:val="28"/>
          <w:highlight w:val="none"/>
          <w:lang w:eastAsia="zh-CN"/>
        </w:rPr>
      </w:pPr>
    </w:p>
    <w:p w14:paraId="0E36849A">
      <w:pPr>
        <w:spacing w:before="120" w:beforeLines="50" w:after="120" w:afterLines="50" w:line="360" w:lineRule="auto"/>
        <w:jc w:val="both"/>
        <w:rPr>
          <w:rFonts w:ascii="Times New Roman" w:hAnsi="Times New Roman" w:eastAsia="宋体"/>
          <w:b/>
          <w:color w:val="auto"/>
          <w:sz w:val="28"/>
          <w:szCs w:val="28"/>
          <w:highlight w:val="none"/>
          <w:lang w:eastAsia="zh-CN"/>
        </w:rPr>
      </w:pPr>
      <w:r>
        <w:rPr>
          <w:rFonts w:hint="eastAsia" w:ascii="Times New Roman" w:hAnsi="Times New Roman" w:eastAsia="宋体"/>
          <w:b/>
          <w:color w:val="auto"/>
          <w:sz w:val="28"/>
          <w:szCs w:val="28"/>
          <w:highlight w:val="none"/>
          <w:lang w:val="en-US" w:eastAsia="zh-CN"/>
        </w:rPr>
        <w:t>4</w:t>
      </w:r>
      <w:r>
        <w:rPr>
          <w:rFonts w:hint="eastAsia" w:ascii="Times New Roman" w:hAnsi="Times New Roman" w:eastAsia="宋体"/>
          <w:b/>
          <w:color w:val="auto"/>
          <w:sz w:val="28"/>
          <w:szCs w:val="28"/>
          <w:highlight w:val="none"/>
          <w:lang w:eastAsia="zh-CN"/>
        </w:rPr>
        <w:t>. experimental procedure</w:t>
      </w:r>
    </w:p>
    <w:bookmarkEnd w:id="1"/>
    <w:p w14:paraId="37376A74">
      <w:pPr>
        <w:spacing w:before="120" w:beforeLines="50" w:after="120" w:afterLines="50" w:line="360" w:lineRule="auto"/>
        <w:jc w:val="both"/>
        <w:rPr>
          <w:rFonts w:ascii="Times New Roman" w:hAnsi="Times New Roman" w:eastAsia="宋体"/>
          <w:b/>
          <w:bCs/>
          <w:color w:val="auto"/>
          <w:sz w:val="24"/>
          <w:szCs w:val="24"/>
          <w:highlight w:val="none"/>
          <w:lang w:eastAsia="zh-CN"/>
        </w:rPr>
      </w:pPr>
      <w:r>
        <w:rPr>
          <w:rFonts w:hint="eastAsia" w:ascii="Times New Roman" w:hAnsi="Times New Roman" w:eastAsia="宋体"/>
          <w:b/>
          <w:bCs/>
          <w:color w:val="auto"/>
          <w:sz w:val="24"/>
          <w:szCs w:val="24"/>
          <w:highlight w:val="none"/>
          <w:lang w:eastAsia="zh-CN"/>
        </w:rPr>
        <w:t>1. Total RNA extraction</w:t>
      </w:r>
    </w:p>
    <w:p w14:paraId="1A585C71">
      <w:pPr>
        <w:spacing w:before="120" w:beforeLines="50" w:after="120" w:afterLines="50" w:line="360" w:lineRule="auto"/>
        <w:jc w:val="both"/>
        <w:rPr>
          <w:rStyle w:val="19"/>
          <w:rFonts w:hint="default" w:ascii="Times New Roman" w:hAnsi="Times New Roman"/>
          <w:color w:val="auto"/>
          <w:highlight w:val="none"/>
          <w:lang w:eastAsia="zh-CN"/>
        </w:rPr>
      </w:pPr>
      <w:r>
        <w:rPr>
          <w:rStyle w:val="19"/>
          <w:rFonts w:hint="default" w:ascii="Times New Roman" w:hAnsi="Times New Roman"/>
          <w:color w:val="auto"/>
          <w:highlight w:val="none"/>
          <w:lang w:eastAsia="zh-CN"/>
        </w:rPr>
        <w:t>(1) Tissue sample: Remove the tissue sample to be ground from the liquid nitrogen or-80℃ refrigerator, cut the tissue sample into about 3 mm 3 mm 3 mm on dry ice, and place it in a 1.5mL EP tube with 1 mL Trizol lysate. After submerging the ultrafine homogenizer head in Trizol lysate for 5-10s, inactivated RNA enzyme, tissue grinding; grind for 4℃, centrifuge at 5000 rpm 3 min, discard the precipitation, absorb the supernatant into a new 1.5 mL EP tube and place it at room temperature for 10min;</w:t>
      </w:r>
    </w:p>
    <w:p w14:paraId="71AE2A46">
      <w:pPr>
        <w:pStyle w:val="14"/>
        <w:tabs>
          <w:tab w:val="left" w:pos="760"/>
        </w:tabs>
        <w:autoSpaceDE/>
        <w:autoSpaceDN/>
        <w:spacing w:line="360" w:lineRule="auto"/>
        <w:ind w:left="0" w:right="686" w:firstLine="480" w:firstLineChars="200"/>
        <w:jc w:val="both"/>
        <w:rPr>
          <w:rFonts w:ascii="Times New Roman" w:hAnsi="Times New Roman" w:eastAsia="宋体" w:cs="Times New Roman"/>
          <w:color w:val="auto"/>
          <w:sz w:val="24"/>
          <w:szCs w:val="24"/>
          <w:highlight w:val="none"/>
          <w:lang w:eastAsia="zh-CN"/>
        </w:rPr>
      </w:pPr>
      <w:r>
        <w:rPr>
          <w:rStyle w:val="19"/>
          <w:rFonts w:hint="default" w:ascii="Times New Roman" w:hAnsi="Times New Roman" w:cs="Times New Roman"/>
          <w:color w:val="auto"/>
          <w:highlight w:val="none"/>
          <w:lang w:eastAsia="zh-CN"/>
        </w:rPr>
        <w:t>Cell samples: collected, centrifuged at 2000 rpm for 5 min, supernatant, added 1 mlTrizol to cell precipitation, mixed and let at room temperature for 5 min, and then transferred to a new 1.5 ml EP tube;</w:t>
      </w:r>
      <w:r>
        <w:rPr>
          <w:rFonts w:ascii="Times New Roman" w:hAnsi="Times New Roman" w:eastAsia="宋体" w:cs="Times New Roman"/>
          <w:color w:val="auto"/>
          <w:spacing w:val="-2"/>
          <w:sz w:val="24"/>
          <w:szCs w:val="24"/>
          <w:highlight w:val="none"/>
          <w:lang w:eastAsia="zh-CN"/>
        </w:rPr>
        <w:t xml:space="preserve"> </w:t>
      </w:r>
      <w:r>
        <w:rPr>
          <w:rFonts w:ascii="Times New Roman" w:hAnsi="Times New Roman" w:eastAsia="宋体" w:cs="Times New Roman"/>
          <w:color w:val="auto"/>
          <w:spacing w:val="37"/>
          <w:sz w:val="24"/>
          <w:szCs w:val="24"/>
          <w:highlight w:val="none"/>
          <w:lang w:eastAsia="zh-CN"/>
        </w:rPr>
        <w:t xml:space="preserve"> </w:t>
      </w:r>
      <w:r>
        <w:rPr>
          <w:rFonts w:ascii="Times New Roman" w:hAnsi="Times New Roman" w:eastAsia="宋体" w:cs="Times New Roman"/>
          <w:color w:val="auto"/>
          <w:spacing w:val="-4"/>
          <w:sz w:val="24"/>
          <w:szCs w:val="24"/>
          <w:highlight w:val="none"/>
          <w:lang w:eastAsia="zh-CN"/>
        </w:rPr>
        <w:t xml:space="preserve">  </w:t>
      </w:r>
      <w:r>
        <w:rPr>
          <w:rFonts w:ascii="Times New Roman" w:hAnsi="Times New Roman" w:eastAsia="宋体" w:cs="Times New Roman"/>
          <w:color w:val="auto"/>
          <w:spacing w:val="-5"/>
          <w:sz w:val="24"/>
          <w:szCs w:val="24"/>
          <w:highlight w:val="none"/>
          <w:lang w:eastAsia="zh-CN"/>
        </w:rPr>
        <w:t xml:space="preserve"> </w:t>
      </w:r>
      <w:r>
        <w:rPr>
          <w:rFonts w:ascii="Times New Roman" w:hAnsi="Times New Roman" w:eastAsia="宋体" w:cs="Times New Roman"/>
          <w:color w:val="auto"/>
          <w:spacing w:val="1"/>
          <w:sz w:val="24"/>
          <w:szCs w:val="24"/>
          <w:highlight w:val="none"/>
          <w:lang w:eastAsia="zh-CN"/>
        </w:rPr>
        <w:t xml:space="preserve"> </w:t>
      </w:r>
      <w:r>
        <w:rPr>
          <w:rFonts w:ascii="Times New Roman" w:hAnsi="Times New Roman" w:eastAsia="宋体" w:cs="Times New Roman"/>
          <w:color w:val="auto"/>
          <w:spacing w:val="-1"/>
          <w:sz w:val="24"/>
          <w:szCs w:val="24"/>
          <w:highlight w:val="none"/>
          <w:lang w:eastAsia="zh-CN"/>
        </w:rPr>
        <w:t xml:space="preserve"> </w:t>
      </w:r>
      <w:r>
        <w:rPr>
          <w:rFonts w:ascii="Times New Roman" w:hAnsi="Times New Roman" w:eastAsia="宋体" w:cs="Times New Roman"/>
          <w:color w:val="auto"/>
          <w:spacing w:val="44"/>
          <w:sz w:val="24"/>
          <w:szCs w:val="24"/>
          <w:highlight w:val="none"/>
          <w:lang w:eastAsia="zh-CN"/>
        </w:rPr>
        <w:t xml:space="preserve"> </w:t>
      </w:r>
    </w:p>
    <w:p w14:paraId="64B841CA">
      <w:pPr>
        <w:pStyle w:val="14"/>
        <w:tabs>
          <w:tab w:val="left" w:pos="760"/>
        </w:tabs>
        <w:autoSpaceDE/>
        <w:autoSpaceDN/>
        <w:spacing w:line="360" w:lineRule="auto"/>
        <w:ind w:left="0" w:right="686" w:firstLine="0"/>
        <w:jc w:val="both"/>
        <w:rPr>
          <w:rStyle w:val="19"/>
          <w:rFonts w:hint="default" w:ascii="Times New Roman" w:hAnsi="Times New Roman"/>
          <w:color w:val="auto"/>
          <w:highlight w:val="none"/>
        </w:rPr>
      </w:pPr>
      <w:r>
        <w:rPr>
          <w:rStyle w:val="19"/>
          <w:rFonts w:hint="default" w:ascii="Times New Roman" w:hAnsi="Times New Roman"/>
          <w:color w:val="auto"/>
          <w:highlight w:val="none"/>
        </w:rPr>
        <w:t>(2) Add 200 μ of L 1-bromo-3-chloropropane per 1000ul Trizol, Sharp shock of the EP tube for 15s, Stand still at room temperature for 10 min; (3) 4℃, 12000 rpm, Centrifugation for 15 min; (4) absorb the upper layer to a new 1.5 mL EP tube, Add 1.5 x volume of pre-cooled isoprol alcohol, Mix well for 4℃ and stand for 20 min; (5) 4℃, 12000 rpm, After 15 min, Leave the upper ant; (6) Add 500 ul of 75% ethanol, washing precipitation; (7) 4℃, 12000 rpm, By centrifugation for 5 min, Leave most of the natars; (8) 4℃, 12000 rpm, Was centrifuged again for 1 min, Leave the clearing, Dry up at room temperature; (9) When the RNA precipitation is basically transparent, RNase-free water was added (with the added volume depending on the amount of RNA precipitation) to complete dissolution.</w:t>
      </w:r>
      <w:r>
        <w:rPr>
          <w:rFonts w:ascii="Times New Roman" w:hAnsi="Times New Roman" w:eastAsia="宋体"/>
          <w:color w:val="auto"/>
          <w:sz w:val="24"/>
          <w:highlight w:val="none"/>
        </w:rPr>
        <w:br w:type="textWrapping"/>
      </w:r>
      <w:r>
        <w:rPr>
          <w:rFonts w:ascii="Times New Roman" w:hAnsi="Times New Roman" w:eastAsia="宋体"/>
          <w:color w:val="auto"/>
          <w:sz w:val="24"/>
          <w:highlight w:val="none"/>
          <w:lang w:eastAsia="zh-CN"/>
        </w:rPr>
        <w:br w:type="textWrapping"/>
      </w:r>
      <w:r>
        <w:rPr>
          <w:rFonts w:ascii="Times New Roman" w:hAnsi="Times New Roman" w:eastAsia="宋体"/>
          <w:color w:val="auto"/>
          <w:sz w:val="24"/>
          <w:highlight w:val="none"/>
          <w:lang w:eastAsia="zh-CN"/>
        </w:rPr>
        <w:br w:type="textWrapping"/>
      </w:r>
      <w:r>
        <w:rPr>
          <w:rFonts w:ascii="Times New Roman" w:hAnsi="Times New Roman" w:eastAsia="宋体"/>
          <w:color w:val="auto"/>
          <w:sz w:val="24"/>
          <w:highlight w:val="none"/>
          <w:lang w:eastAsia="zh-CN"/>
        </w:rPr>
        <w:br w:type="textWrapping"/>
      </w:r>
      <w:r>
        <w:rPr>
          <w:rFonts w:ascii="Times New Roman" w:hAnsi="Times New Roman" w:eastAsia="宋体"/>
          <w:color w:val="auto"/>
          <w:sz w:val="24"/>
          <w:highlight w:val="none"/>
          <w:lang w:eastAsia="zh-CN"/>
        </w:rPr>
        <w:br w:type="textWrapping"/>
      </w:r>
      <w:r>
        <w:rPr>
          <w:rFonts w:ascii="Times New Roman" w:hAnsi="Times New Roman" w:eastAsia="宋体"/>
          <w:color w:val="auto"/>
          <w:sz w:val="24"/>
          <w:highlight w:val="none"/>
          <w:lang w:eastAsia="zh-CN"/>
        </w:rPr>
        <w:br w:type="textWrapping"/>
      </w:r>
      <w:r>
        <w:rPr>
          <w:rFonts w:ascii="Times New Roman" w:hAnsi="Times New Roman" w:eastAsia="宋体"/>
          <w:color w:val="auto"/>
          <w:sz w:val="24"/>
          <w:highlight w:val="none"/>
        </w:rPr>
        <w:br w:type="textWrapping"/>
      </w:r>
    </w:p>
    <w:p w14:paraId="64C76A90">
      <w:pPr>
        <w:pStyle w:val="14"/>
        <w:tabs>
          <w:tab w:val="left" w:pos="760"/>
        </w:tabs>
        <w:autoSpaceDE/>
        <w:autoSpaceDN/>
        <w:spacing w:line="360" w:lineRule="auto"/>
        <w:ind w:left="0" w:right="686" w:firstLine="0"/>
        <w:jc w:val="both"/>
        <w:rPr>
          <w:rStyle w:val="19"/>
          <w:rFonts w:hint="default" w:ascii="Times New Roman" w:hAnsi="Times New Roman"/>
          <w:color w:val="auto"/>
          <w:highlight w:val="none"/>
          <w:lang w:eastAsia="zh-CN"/>
        </w:rPr>
      </w:pPr>
      <w:r>
        <w:rPr>
          <w:rStyle w:val="19"/>
          <w:rFonts w:hint="default" w:ascii="Times New Roman" w:hAnsi="Times New Roman"/>
          <w:color w:val="auto"/>
          <w:highlight w:val="none"/>
          <w:lang w:eastAsia="zh-CN"/>
        </w:rPr>
        <w:t>(10) RNA purification: 2.5ul DNase and 10ul RDD buffer were added to the dissolved RNA solution, and water was added to 100ul, repeat the above steps (1) - (9), the concentration and quality of RNA extracted were determined by Nanodrop one analysis, RNA integrity was detected by Agilent 2100 Bioanalyzer, and samples with RIN value greater than 7 for subsequent experiments.</w:t>
      </w:r>
    </w:p>
    <w:p w14:paraId="3D6E7636">
      <w:pPr>
        <w:spacing w:before="205" w:line="360" w:lineRule="auto"/>
        <w:jc w:val="both"/>
        <w:rPr>
          <w:rFonts w:ascii="Times New Roman" w:hAnsi="Times New Roman" w:eastAsia="宋体" w:cstheme="minorEastAsia"/>
          <w:b/>
          <w:bCs/>
          <w:color w:val="auto"/>
          <w:sz w:val="24"/>
          <w:szCs w:val="24"/>
          <w:highlight w:val="none"/>
        </w:rPr>
      </w:pPr>
      <w:bookmarkStart w:id="7" w:name="_Toc18091"/>
      <w:r>
        <w:rPr>
          <w:rFonts w:hint="eastAsia" w:ascii="Times New Roman" w:hAnsi="Times New Roman" w:eastAsia="宋体" w:cstheme="minorEastAsia"/>
          <w:b/>
          <w:bCs/>
          <w:color w:val="auto"/>
          <w:sz w:val="24"/>
          <w:szCs w:val="24"/>
          <w:highlight w:val="none"/>
        </w:rPr>
        <w:t>2.RNA reverse transcription obtains cDNA according to the Protocol of TaKaRa Company PrimeScript™ RT Master Mix (Perfect Real Time), steps as follows:</w:t>
      </w:r>
      <w:r>
        <w:rPr>
          <w:rFonts w:ascii="Times New Roman" w:hAnsi="Times New Roman" w:eastAsia="宋体" w:cstheme="minorEastAsia"/>
          <w:b/>
          <w:bCs/>
          <w:color w:val="auto"/>
          <w:sz w:val="24"/>
          <w:szCs w:val="24"/>
          <w:highlight w:val="none"/>
        </w:rPr>
        <w:t xml:space="preserve"> </w:t>
      </w:r>
      <w:bookmarkEnd w:id="7"/>
    </w:p>
    <w:p w14:paraId="21AE66D1">
      <w:pPr>
        <w:tabs>
          <w:tab w:val="left" w:pos="760"/>
        </w:tabs>
        <w:autoSpaceDE/>
        <w:autoSpaceDN/>
        <w:spacing w:line="360" w:lineRule="auto"/>
        <w:ind w:right="503"/>
        <w:jc w:val="both"/>
        <w:rPr>
          <w:rFonts w:ascii="Times New Roman" w:hAnsi="Times New Roman" w:eastAsia="宋体" w:cstheme="minorEastAsia"/>
          <w:color w:val="auto"/>
          <w:sz w:val="24"/>
          <w:szCs w:val="24"/>
          <w:highlight w:val="none"/>
        </w:rPr>
      </w:pPr>
      <w:r>
        <w:rPr>
          <w:rFonts w:hint="eastAsia" w:ascii="Times New Roman" w:hAnsi="Times New Roman" w:eastAsia="宋体" w:cstheme="minorEastAsia"/>
          <w:color w:val="auto"/>
          <w:sz w:val="24"/>
          <w:szCs w:val="24"/>
          <w:highlight w:val="none"/>
          <w:lang w:eastAsia="zh-CN"/>
        </w:rPr>
        <w:t>(1) 2 μL 5X PrimeScript RT Master Mix (Perfect Real Time) and 500n g to t a l RN A were added to the PCR tube and supplemented with RN ase-F re e H</w:t>
      </w:r>
      <w:r>
        <w:rPr>
          <w:rFonts w:hint="eastAsia" w:ascii="Times New Roman" w:hAnsi="Times New Roman" w:eastAsia="宋体" w:cstheme="minorEastAsia"/>
          <w:color w:val="auto"/>
          <w:spacing w:val="-3"/>
          <w:w w:val="106"/>
          <w:position w:val="-2"/>
          <w:sz w:val="24"/>
          <w:szCs w:val="24"/>
          <w:highlight w:val="none"/>
          <w:vertAlign w:val="subscript"/>
        </w:rPr>
        <w:t>2 O to 10 μ L, gently mix and then centrifuge;</w:t>
      </w:r>
    </w:p>
    <w:p w14:paraId="206E7346">
      <w:pPr>
        <w:tabs>
          <w:tab w:val="left" w:pos="760"/>
        </w:tabs>
        <w:autoSpaceDE/>
        <w:autoSpaceDN/>
        <w:spacing w:line="360" w:lineRule="auto"/>
        <w:jc w:val="both"/>
        <w:rPr>
          <w:rFonts w:ascii="Times New Roman" w:hAnsi="Times New Roman" w:eastAsia="宋体" w:cstheme="minorEastAsia"/>
          <w:color w:val="auto"/>
          <w:sz w:val="24"/>
          <w:szCs w:val="24"/>
          <w:highlight w:val="none"/>
          <w:lang w:eastAsia="zh-CN"/>
        </w:rPr>
      </w:pPr>
      <w:r>
        <w:rPr>
          <w:rFonts w:hint="eastAsia" w:ascii="Times New Roman" w:hAnsi="Times New Roman" w:eastAsia="宋体" w:cstheme="minorEastAsia"/>
          <w:color w:val="auto"/>
          <w:spacing w:val="-17"/>
          <w:sz w:val="24"/>
          <w:szCs w:val="24"/>
          <w:highlight w:val="none"/>
          <w:lang w:eastAsia="zh-CN"/>
        </w:rPr>
        <w:t>(2) Reverse transcription according to 37℃ 15min (reverse transcription reaction), 85℃ 5 sec (inactivation reaction of reverse transcription enzyme), 4℃ program;</w:t>
      </w:r>
    </w:p>
    <w:p w14:paraId="7762E4CF">
      <w:pPr>
        <w:tabs>
          <w:tab w:val="left" w:pos="760"/>
        </w:tabs>
        <w:autoSpaceDE/>
        <w:autoSpaceDN/>
        <w:spacing w:line="360" w:lineRule="auto"/>
        <w:jc w:val="both"/>
        <w:rPr>
          <w:rFonts w:ascii="Times New Roman" w:hAnsi="Times New Roman" w:eastAsia="宋体" w:cstheme="minorEastAsia"/>
          <w:color w:val="auto"/>
          <w:sz w:val="24"/>
          <w:szCs w:val="24"/>
          <w:highlight w:val="none"/>
          <w:lang w:eastAsia="zh-CN"/>
        </w:rPr>
      </w:pPr>
      <w:r>
        <w:rPr>
          <w:rFonts w:hint="eastAsia" w:ascii="Times New Roman" w:hAnsi="Times New Roman" w:eastAsia="宋体" w:cstheme="minorEastAsia"/>
          <w:color w:val="auto"/>
          <w:spacing w:val="-11"/>
          <w:sz w:val="24"/>
          <w:szCs w:val="24"/>
          <w:highlight w:val="none"/>
          <w:lang w:eastAsia="zh-CN"/>
        </w:rPr>
        <w:t>(3), the resulting RT product cDNA can be used to prepare the cDNA chips.</w:t>
      </w:r>
    </w:p>
    <w:p w14:paraId="31449519">
      <w:pPr>
        <w:spacing w:line="360" w:lineRule="auto"/>
        <w:jc w:val="both"/>
        <w:rPr>
          <w:rFonts w:ascii="Times New Roman" w:hAnsi="Times New Roman" w:eastAsia="宋体" w:cstheme="minorEastAsia"/>
          <w:b/>
          <w:bCs/>
          <w:color w:val="auto"/>
          <w:sz w:val="24"/>
          <w:szCs w:val="24"/>
          <w:highlight w:val="none"/>
        </w:rPr>
      </w:pPr>
      <w:r>
        <w:rPr>
          <w:rFonts w:hint="eastAsia" w:ascii="Times New Roman" w:hAnsi="Times New Roman" w:eastAsia="宋体" w:cstheme="minorEastAsia"/>
          <w:b/>
          <w:bCs/>
          <w:color w:val="auto"/>
          <w:sz w:val="24"/>
          <w:szCs w:val="24"/>
          <w:highlight w:val="none"/>
          <w:lang w:eastAsia="zh-CN"/>
        </w:rPr>
        <w:t>3.Real-time PCR test, according to the Protocol of the ChamQ Universal SYBR qPCR Master Mix kit, the specific steps are as follows:</w:t>
      </w:r>
    </w:p>
    <w:p w14:paraId="3EC42F93">
      <w:pPr>
        <w:autoSpaceDE/>
        <w:autoSpaceDN/>
        <w:spacing w:line="360" w:lineRule="auto"/>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 xml:space="preserve">(1) The </w:t>
      </w:r>
      <w:r>
        <w:rPr>
          <w:rFonts w:hint="eastAsia" w:ascii="Times New Roman" w:hAnsi="Times New Roman" w:eastAsia="宋体" w:cs="Times New Roman"/>
          <w:color w:val="auto"/>
          <w:sz w:val="24"/>
          <w:szCs w:val="24"/>
          <w:highlight w:val="none"/>
          <w:lang w:val="en-US" w:eastAsia="zh-CN"/>
        </w:rPr>
        <w:t xml:space="preserve">sample </w:t>
      </w:r>
      <w:r>
        <w:rPr>
          <w:rFonts w:hint="eastAsia" w:ascii="Times New Roman" w:hAnsi="Times New Roman" w:eastAsia="宋体" w:cs="Times New Roman"/>
          <w:color w:val="auto"/>
          <w:sz w:val="24"/>
          <w:szCs w:val="24"/>
          <w:highlight w:val="none"/>
          <w:lang w:eastAsia="zh-CN"/>
        </w:rPr>
        <w:t xml:space="preserve"> was removed from-20℃ and placed at room temperature for 1min.</w:t>
      </w:r>
    </w:p>
    <w:p w14:paraId="5469DB5F">
      <w:pPr>
        <w:spacing w:line="360" w:lineRule="auto"/>
        <w:jc w:val="both"/>
        <w:rPr>
          <w:rFonts w:ascii="Times New Roman" w:hAnsi="Times New Roman" w:eastAsia="宋体"/>
          <w:color w:val="auto"/>
          <w:sz w:val="24"/>
          <w:szCs w:val="24"/>
          <w:highlight w:val="none"/>
        </w:rPr>
      </w:pPr>
      <w:r>
        <w:rPr>
          <w:rFonts w:hint="eastAsia" w:ascii="Times New Roman" w:hAnsi="Times New Roman" w:eastAsia="宋体" w:cs="Times New Roman"/>
          <w:color w:val="auto"/>
          <w:sz w:val="24"/>
          <w:szCs w:val="24"/>
          <w:highlight w:val="none"/>
          <w:lang w:eastAsia="zh-CN"/>
        </w:rPr>
        <w:t>(2) The 20ul system is configured for qPCR MasterMix. The DNA template is already on the product cDNA, so 2ul DNA template is replaced with water. The following solutions are provided in the centrifuge tube:</w:t>
      </w:r>
      <w:bookmarkStart w:id="8" w:name="_Hlk91086278"/>
      <w:bookmarkEnd w:id="8"/>
    </w:p>
    <w:tbl>
      <w:tblPr>
        <w:tblStyle w:val="8"/>
        <w:tblW w:w="7503"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69"/>
        <w:gridCol w:w="1534"/>
      </w:tblGrid>
      <w:tr w14:paraId="61AC3E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69" w:type="dxa"/>
            <w:shd w:val="clear" w:color="auto" w:fill="auto"/>
            <w:vAlign w:val="center"/>
          </w:tcPr>
          <w:p w14:paraId="7E135303">
            <w:pPr>
              <w:widowControl/>
              <w:spacing w:line="360" w:lineRule="auto"/>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name</w:t>
            </w:r>
          </w:p>
        </w:tc>
        <w:tc>
          <w:tcPr>
            <w:tcW w:w="1534" w:type="dxa"/>
            <w:shd w:val="clear" w:color="auto" w:fill="auto"/>
            <w:vAlign w:val="center"/>
          </w:tcPr>
          <w:p w14:paraId="697267BE">
            <w:pPr>
              <w:widowControl/>
              <w:spacing w:line="360" w:lineRule="auto"/>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volume</w:t>
            </w:r>
          </w:p>
        </w:tc>
      </w:tr>
      <w:tr w14:paraId="511F3B8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69" w:type="dxa"/>
            <w:shd w:val="clear" w:color="auto" w:fill="auto"/>
            <w:vAlign w:val="center"/>
          </w:tcPr>
          <w:p w14:paraId="5F872564">
            <w:pPr>
              <w:widowControl/>
              <w:spacing w:line="360" w:lineRule="auto"/>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2 × ChamQ Universal SYBR qPCR Master Mix</w:t>
            </w:r>
          </w:p>
        </w:tc>
        <w:tc>
          <w:tcPr>
            <w:tcW w:w="1534" w:type="dxa"/>
            <w:shd w:val="clear" w:color="auto" w:fill="auto"/>
            <w:vAlign w:val="center"/>
          </w:tcPr>
          <w:p w14:paraId="68F60F6A">
            <w:pPr>
              <w:widowControl/>
              <w:spacing w:line="360" w:lineRule="auto"/>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10μl</w:t>
            </w:r>
          </w:p>
        </w:tc>
      </w:tr>
      <w:tr w14:paraId="5CA2865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69" w:type="dxa"/>
            <w:shd w:val="clear" w:color="auto" w:fill="auto"/>
            <w:vAlign w:val="center"/>
          </w:tcPr>
          <w:p w14:paraId="47EE15BC">
            <w:pPr>
              <w:widowControl/>
              <w:spacing w:line="360" w:lineRule="auto"/>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Forward primer( 10μM)</w:t>
            </w:r>
          </w:p>
        </w:tc>
        <w:tc>
          <w:tcPr>
            <w:tcW w:w="1534" w:type="dxa"/>
            <w:shd w:val="clear" w:color="auto" w:fill="auto"/>
            <w:vAlign w:val="center"/>
          </w:tcPr>
          <w:p w14:paraId="6749CC03">
            <w:pPr>
              <w:widowControl/>
              <w:spacing w:line="360" w:lineRule="auto"/>
              <w:jc w:val="both"/>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0. 3μl</w:t>
            </w:r>
          </w:p>
        </w:tc>
      </w:tr>
      <w:tr w14:paraId="62BD315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69" w:type="dxa"/>
            <w:shd w:val="clear" w:color="auto" w:fill="auto"/>
            <w:vAlign w:val="center"/>
          </w:tcPr>
          <w:p w14:paraId="58383807">
            <w:pPr>
              <w:widowControl/>
              <w:spacing w:line="360" w:lineRule="auto"/>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Reverse primer( 10μM)</w:t>
            </w:r>
          </w:p>
        </w:tc>
        <w:tc>
          <w:tcPr>
            <w:tcW w:w="1534" w:type="dxa"/>
            <w:shd w:val="clear" w:color="auto" w:fill="auto"/>
            <w:vAlign w:val="center"/>
          </w:tcPr>
          <w:p w14:paraId="678118BA">
            <w:pPr>
              <w:widowControl/>
              <w:spacing w:line="360" w:lineRule="auto"/>
              <w:jc w:val="both"/>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0. 3μl</w:t>
            </w:r>
          </w:p>
        </w:tc>
      </w:tr>
      <w:tr w14:paraId="03FA16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5969" w:type="dxa"/>
            <w:shd w:val="clear" w:color="auto" w:fill="auto"/>
            <w:vAlign w:val="center"/>
          </w:tcPr>
          <w:p w14:paraId="2A1123BD">
            <w:pPr>
              <w:widowControl/>
              <w:spacing w:line="360" w:lineRule="auto"/>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ddH</w:t>
            </w:r>
            <w:r>
              <w:rPr>
                <w:rFonts w:ascii="Times New Roman" w:hAnsi="Times New Roman" w:eastAsia="宋体" w:cs="Times New Roman"/>
                <w:color w:val="auto"/>
                <w:sz w:val="24"/>
                <w:szCs w:val="24"/>
                <w:highlight w:val="none"/>
                <w:vertAlign w:val="subscript"/>
              </w:rPr>
              <w:t>2 O</w:t>
            </w:r>
          </w:p>
        </w:tc>
        <w:tc>
          <w:tcPr>
            <w:tcW w:w="1534" w:type="dxa"/>
            <w:shd w:val="clear" w:color="auto" w:fill="auto"/>
            <w:vAlign w:val="center"/>
          </w:tcPr>
          <w:p w14:paraId="648AC9BF">
            <w:pPr>
              <w:widowControl/>
              <w:spacing w:line="360" w:lineRule="auto"/>
              <w:jc w:val="both"/>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9. 4μl</w:t>
            </w:r>
          </w:p>
        </w:tc>
      </w:tr>
    </w:tbl>
    <w:p w14:paraId="32D4E53F">
      <w:pPr>
        <w:autoSpaceDE/>
        <w:autoSpaceDN/>
        <w:spacing w:line="360" w:lineRule="auto"/>
        <w:jc w:val="both"/>
        <w:rPr>
          <w:rFonts w:ascii="Times New Roman" w:hAnsi="Times New Roman" w:eastAsia="宋体" w:cs="Times New Roman"/>
          <w:color w:val="auto"/>
          <w:sz w:val="24"/>
          <w:szCs w:val="24"/>
          <w:highlight w:val="none"/>
          <w:lang w:eastAsia="zh-CN"/>
        </w:rPr>
      </w:pPr>
    </w:p>
    <w:p w14:paraId="7F4B8DBA">
      <w:pPr>
        <w:numPr>
          <w:ilvl w:val="0"/>
          <w:numId w:val="1"/>
        </w:numPr>
        <w:autoSpaceDE/>
        <w:autoSpaceDN/>
        <w:spacing w:line="360" w:lineRule="auto"/>
        <w:jc w:val="both"/>
        <w:rPr>
          <w:rFonts w:hint="eastAsia"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 xml:space="preserve">Remove the sealing film of the </w:t>
      </w:r>
      <w:r>
        <w:rPr>
          <w:rFonts w:hint="eastAsia" w:ascii="Times New Roman" w:hAnsi="Times New Roman" w:eastAsia="宋体" w:cs="Times New Roman"/>
          <w:color w:val="auto"/>
          <w:sz w:val="24"/>
          <w:szCs w:val="24"/>
          <w:highlight w:val="none"/>
          <w:lang w:val="en-US" w:eastAsia="zh-CN"/>
        </w:rPr>
        <w:t>sample</w:t>
      </w:r>
      <w:r>
        <w:rPr>
          <w:rFonts w:hint="eastAsia" w:ascii="Times New Roman" w:hAnsi="Times New Roman" w:eastAsia="宋体" w:cs="Times New Roman"/>
          <w:color w:val="auto"/>
          <w:sz w:val="24"/>
          <w:szCs w:val="24"/>
          <w:highlight w:val="none"/>
          <w:lang w:eastAsia="zh-CN"/>
        </w:rPr>
        <w:t>, mix the above mixture well, and add it to the</w:t>
      </w:r>
      <w:r>
        <w:rPr>
          <w:rFonts w:hint="eastAsia" w:ascii="Times New Roman" w:hAnsi="Times New Roman" w:eastAsia="宋体" w:cs="Times New Roman"/>
          <w:color w:val="auto"/>
          <w:sz w:val="24"/>
          <w:szCs w:val="24"/>
          <w:highlight w:val="none"/>
          <w:lang w:val="en-US" w:eastAsia="zh-CN"/>
        </w:rPr>
        <w:t xml:space="preserve"> sample</w:t>
      </w:r>
    </w:p>
    <w:p w14:paraId="47F3BB8C">
      <w:pPr>
        <w:numPr>
          <w:ilvl w:val="0"/>
          <w:numId w:val="0"/>
        </w:numPr>
        <w:autoSpaceDE/>
        <w:autoSpaceDN/>
        <w:spacing w:line="360" w:lineRule="auto"/>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 xml:space="preserve">(4) Seal the </w:t>
      </w:r>
      <w:r>
        <w:rPr>
          <w:rFonts w:hint="eastAsia" w:ascii="Times New Roman" w:hAnsi="Times New Roman" w:eastAsia="宋体" w:cs="Times New Roman"/>
          <w:color w:val="auto"/>
          <w:sz w:val="24"/>
          <w:szCs w:val="24"/>
          <w:highlight w:val="none"/>
          <w:lang w:val="en-US" w:eastAsia="zh-CN"/>
        </w:rPr>
        <w:t>sample</w:t>
      </w:r>
      <w:r>
        <w:rPr>
          <w:rFonts w:hint="eastAsia" w:ascii="Times New Roman" w:hAnsi="Times New Roman" w:eastAsia="宋体" w:cs="Times New Roman"/>
          <w:color w:val="auto"/>
          <w:sz w:val="24"/>
          <w:szCs w:val="24"/>
          <w:highlight w:val="none"/>
          <w:lang w:eastAsia="zh-CN"/>
        </w:rPr>
        <w:t xml:space="preserve"> with a new sealing film, and pay attention to carefully stick tight. After sealing, the well plate was placed on ice for 15min to fully dissolve the lyophilized cDNA. After gentle shaking, be centrifuged at 2000-6000rpm for 1min;</w:t>
      </w:r>
    </w:p>
    <w:p w14:paraId="2D85B0C5">
      <w:pPr>
        <w:autoSpaceDE/>
        <w:autoSpaceDN/>
        <w:spacing w:line="360" w:lineRule="auto"/>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(5) Put the well plate into the PCR instrument, set the procedure, and conduct the PCR experiment.</w:t>
      </w:r>
    </w:p>
    <w:tbl>
      <w:tblPr>
        <w:tblStyle w:val="8"/>
        <w:tblW w:w="7090" w:type="dxa"/>
        <w:jc w:val="center"/>
        <w:tblLayout w:type="fixed"/>
        <w:tblCellMar>
          <w:top w:w="0" w:type="dxa"/>
          <w:left w:w="108" w:type="dxa"/>
          <w:bottom w:w="0" w:type="dxa"/>
          <w:right w:w="108" w:type="dxa"/>
        </w:tblCellMar>
      </w:tblPr>
      <w:tblGrid>
        <w:gridCol w:w="1418"/>
        <w:gridCol w:w="1418"/>
        <w:gridCol w:w="1418"/>
        <w:gridCol w:w="1418"/>
        <w:gridCol w:w="1418"/>
      </w:tblGrid>
      <w:tr w14:paraId="4A279C8A">
        <w:tblPrEx>
          <w:tblCellMar>
            <w:top w:w="0" w:type="dxa"/>
            <w:left w:w="108" w:type="dxa"/>
            <w:bottom w:w="0" w:type="dxa"/>
            <w:right w:w="108" w:type="dxa"/>
          </w:tblCellMar>
        </w:tblPrEx>
        <w:trPr>
          <w:trHeight w:val="340" w:hRule="atLeast"/>
          <w:jc w:val="center"/>
        </w:trPr>
        <w:tc>
          <w:tcPr>
            <w:tcW w:w="1418" w:type="dxa"/>
            <w:tcBorders>
              <w:top w:val="single" w:color="auto" w:sz="4" w:space="0"/>
              <w:left w:val="nil"/>
              <w:bottom w:val="single" w:color="auto" w:sz="4" w:space="0"/>
              <w:right w:val="nil"/>
            </w:tcBorders>
          </w:tcPr>
          <w:p w14:paraId="1DF49943">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Stage 1</w:t>
            </w:r>
          </w:p>
        </w:tc>
        <w:tc>
          <w:tcPr>
            <w:tcW w:w="1418" w:type="dxa"/>
            <w:tcBorders>
              <w:top w:val="single" w:color="auto" w:sz="4" w:space="0"/>
              <w:left w:val="nil"/>
              <w:bottom w:val="single" w:color="auto" w:sz="4" w:space="0"/>
              <w:right w:val="nil"/>
            </w:tcBorders>
          </w:tcPr>
          <w:p w14:paraId="0887953C">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Predenaturation</w:t>
            </w:r>
            <w:r>
              <w:rPr>
                <w:rFonts w:hint="eastAsia" w:ascii="Times New Roman" w:hAnsi="Times New Roman" w:eastAsia="宋体"/>
                <w:color w:val="auto"/>
                <w:sz w:val="24"/>
                <w:szCs w:val="24"/>
                <w:highlight w:val="none"/>
                <w:vertAlign w:val="superscript"/>
                <w:lang w:eastAsia="zh-CN"/>
              </w:rPr>
              <w:t>a</w:t>
            </w:r>
          </w:p>
        </w:tc>
        <w:tc>
          <w:tcPr>
            <w:tcW w:w="1418" w:type="dxa"/>
            <w:tcBorders>
              <w:top w:val="single" w:color="auto" w:sz="4" w:space="0"/>
              <w:left w:val="nil"/>
              <w:bottom w:val="single" w:color="auto" w:sz="4" w:space="0"/>
              <w:right w:val="nil"/>
            </w:tcBorders>
          </w:tcPr>
          <w:p w14:paraId="3A79662C">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Reps:1</w:t>
            </w:r>
          </w:p>
        </w:tc>
        <w:tc>
          <w:tcPr>
            <w:tcW w:w="1418" w:type="dxa"/>
            <w:tcBorders>
              <w:top w:val="single" w:color="auto" w:sz="4" w:space="0"/>
              <w:left w:val="nil"/>
              <w:bottom w:val="single" w:color="auto" w:sz="4" w:space="0"/>
              <w:right w:val="nil"/>
            </w:tcBorders>
            <w:vAlign w:val="center"/>
          </w:tcPr>
          <w:p w14:paraId="7A5B3FE0">
            <w:pPr>
              <w:jc w:val="both"/>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eastAsia="zh-CN"/>
              </w:rPr>
              <w:t>9 5℃</w:t>
            </w:r>
          </w:p>
        </w:tc>
        <w:tc>
          <w:tcPr>
            <w:tcW w:w="1418" w:type="dxa"/>
            <w:tcBorders>
              <w:top w:val="single" w:color="auto" w:sz="4" w:space="0"/>
              <w:left w:val="nil"/>
              <w:bottom w:val="single" w:color="auto" w:sz="4" w:space="0"/>
              <w:right w:val="nil"/>
            </w:tcBorders>
            <w:vAlign w:val="center"/>
          </w:tcPr>
          <w:p w14:paraId="7EEE44C3">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30 sec</w:t>
            </w:r>
          </w:p>
        </w:tc>
      </w:tr>
      <w:tr w14:paraId="7501AA3B">
        <w:tblPrEx>
          <w:tblCellMar>
            <w:top w:w="0" w:type="dxa"/>
            <w:left w:w="108" w:type="dxa"/>
            <w:bottom w:w="0" w:type="dxa"/>
            <w:right w:w="108" w:type="dxa"/>
          </w:tblCellMar>
        </w:tblPrEx>
        <w:trPr>
          <w:trHeight w:val="340" w:hRule="atLeast"/>
          <w:jc w:val="center"/>
        </w:trPr>
        <w:tc>
          <w:tcPr>
            <w:tcW w:w="1418" w:type="dxa"/>
            <w:tcBorders>
              <w:top w:val="single" w:color="auto" w:sz="4" w:space="0"/>
            </w:tcBorders>
          </w:tcPr>
          <w:p w14:paraId="5A0739E7">
            <w:pPr>
              <w:jc w:val="both"/>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eastAsia="zh-CN"/>
              </w:rPr>
              <w:t>Stage 2</w:t>
            </w:r>
          </w:p>
        </w:tc>
        <w:tc>
          <w:tcPr>
            <w:tcW w:w="1418" w:type="dxa"/>
            <w:tcBorders>
              <w:top w:val="single" w:color="auto" w:sz="4" w:space="0"/>
            </w:tcBorders>
          </w:tcPr>
          <w:p w14:paraId="255D4296">
            <w:pPr>
              <w:jc w:val="both"/>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eastAsia="zh-CN"/>
              </w:rPr>
              <w:t>circular reaction</w:t>
            </w:r>
          </w:p>
        </w:tc>
        <w:tc>
          <w:tcPr>
            <w:tcW w:w="1418" w:type="dxa"/>
            <w:tcBorders>
              <w:top w:val="single" w:color="auto" w:sz="4" w:space="0"/>
            </w:tcBorders>
          </w:tcPr>
          <w:p w14:paraId="58552737">
            <w:pPr>
              <w:jc w:val="both"/>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eastAsia="zh-CN"/>
              </w:rPr>
              <w:t>Reps: 40</w:t>
            </w:r>
          </w:p>
        </w:tc>
        <w:tc>
          <w:tcPr>
            <w:tcW w:w="1418" w:type="dxa"/>
            <w:tcBorders>
              <w:top w:val="single" w:color="auto" w:sz="4" w:space="0"/>
            </w:tcBorders>
            <w:vAlign w:val="center"/>
          </w:tcPr>
          <w:p w14:paraId="4301C530">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9 5℃</w:t>
            </w:r>
          </w:p>
        </w:tc>
        <w:tc>
          <w:tcPr>
            <w:tcW w:w="1418" w:type="dxa"/>
            <w:tcBorders>
              <w:top w:val="single" w:color="auto" w:sz="4" w:space="0"/>
            </w:tcBorders>
            <w:vAlign w:val="center"/>
          </w:tcPr>
          <w:p w14:paraId="44EAFD58">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3-10 sec</w:t>
            </w:r>
            <w:r>
              <w:rPr>
                <w:rFonts w:ascii="Times New Roman" w:hAnsi="Times New Roman" w:eastAsia="宋体"/>
                <w:color w:val="auto"/>
                <w:sz w:val="24"/>
                <w:szCs w:val="24"/>
                <w:highlight w:val="none"/>
                <w:vertAlign w:val="superscript"/>
                <w:lang w:eastAsia="zh-CN"/>
              </w:rPr>
              <w:t>b</w:t>
            </w:r>
          </w:p>
        </w:tc>
      </w:tr>
      <w:tr w14:paraId="1A29F230">
        <w:tblPrEx>
          <w:tblCellMar>
            <w:top w:w="0" w:type="dxa"/>
            <w:left w:w="108" w:type="dxa"/>
            <w:bottom w:w="0" w:type="dxa"/>
            <w:right w:w="108" w:type="dxa"/>
          </w:tblCellMar>
        </w:tblPrEx>
        <w:trPr>
          <w:trHeight w:val="340" w:hRule="atLeast"/>
          <w:jc w:val="center"/>
        </w:trPr>
        <w:tc>
          <w:tcPr>
            <w:tcW w:w="1418" w:type="dxa"/>
            <w:tcBorders>
              <w:bottom w:val="single" w:color="auto" w:sz="4" w:space="0"/>
            </w:tcBorders>
          </w:tcPr>
          <w:p w14:paraId="51EB964C">
            <w:pPr>
              <w:jc w:val="both"/>
              <w:rPr>
                <w:rFonts w:ascii="Times New Roman" w:hAnsi="Times New Roman" w:eastAsia="宋体"/>
                <w:color w:val="auto"/>
                <w:sz w:val="24"/>
                <w:szCs w:val="24"/>
                <w:highlight w:val="none"/>
              </w:rPr>
            </w:pPr>
          </w:p>
        </w:tc>
        <w:tc>
          <w:tcPr>
            <w:tcW w:w="1418" w:type="dxa"/>
            <w:tcBorders>
              <w:bottom w:val="single" w:color="auto" w:sz="4" w:space="0"/>
            </w:tcBorders>
          </w:tcPr>
          <w:p w14:paraId="5FB6B24F">
            <w:pPr>
              <w:jc w:val="both"/>
              <w:rPr>
                <w:rFonts w:ascii="Times New Roman" w:hAnsi="Times New Roman" w:eastAsia="宋体"/>
                <w:color w:val="auto"/>
                <w:sz w:val="24"/>
                <w:szCs w:val="24"/>
                <w:highlight w:val="none"/>
              </w:rPr>
            </w:pPr>
          </w:p>
        </w:tc>
        <w:tc>
          <w:tcPr>
            <w:tcW w:w="1418" w:type="dxa"/>
            <w:tcBorders>
              <w:bottom w:val="single" w:color="auto" w:sz="4" w:space="0"/>
            </w:tcBorders>
          </w:tcPr>
          <w:p w14:paraId="17AB9EDD">
            <w:pPr>
              <w:jc w:val="both"/>
              <w:rPr>
                <w:rFonts w:ascii="Times New Roman" w:hAnsi="Times New Roman" w:eastAsia="宋体"/>
                <w:color w:val="auto"/>
                <w:sz w:val="24"/>
                <w:szCs w:val="24"/>
                <w:highlight w:val="none"/>
              </w:rPr>
            </w:pPr>
          </w:p>
        </w:tc>
        <w:tc>
          <w:tcPr>
            <w:tcW w:w="1418" w:type="dxa"/>
            <w:tcBorders>
              <w:bottom w:val="single" w:color="auto" w:sz="4" w:space="0"/>
            </w:tcBorders>
            <w:vAlign w:val="center"/>
          </w:tcPr>
          <w:p w14:paraId="32784E64">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60℃</w:t>
            </w:r>
          </w:p>
        </w:tc>
        <w:tc>
          <w:tcPr>
            <w:tcW w:w="1418" w:type="dxa"/>
            <w:tcBorders>
              <w:bottom w:val="single" w:color="auto" w:sz="4" w:space="0"/>
            </w:tcBorders>
            <w:vAlign w:val="center"/>
          </w:tcPr>
          <w:p w14:paraId="466B1AD9">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10-30 sec</w:t>
            </w:r>
            <w:r>
              <w:rPr>
                <w:rFonts w:ascii="Times New Roman" w:hAnsi="Times New Roman" w:eastAsia="宋体"/>
                <w:color w:val="auto"/>
                <w:sz w:val="24"/>
                <w:szCs w:val="24"/>
                <w:highlight w:val="none"/>
                <w:vertAlign w:val="superscript"/>
                <w:lang w:eastAsia="zh-CN"/>
              </w:rPr>
              <w:t>c</w:t>
            </w:r>
          </w:p>
        </w:tc>
      </w:tr>
      <w:tr w14:paraId="08296AA4">
        <w:tblPrEx>
          <w:tblCellMar>
            <w:top w:w="0" w:type="dxa"/>
            <w:left w:w="108" w:type="dxa"/>
            <w:bottom w:w="0" w:type="dxa"/>
            <w:right w:w="108" w:type="dxa"/>
          </w:tblCellMar>
        </w:tblPrEx>
        <w:trPr>
          <w:trHeight w:val="340" w:hRule="atLeast"/>
          <w:jc w:val="center"/>
        </w:trPr>
        <w:tc>
          <w:tcPr>
            <w:tcW w:w="1418" w:type="dxa"/>
            <w:tcBorders>
              <w:top w:val="single" w:color="auto" w:sz="4" w:space="0"/>
              <w:left w:val="nil"/>
              <w:bottom w:val="nil"/>
              <w:right w:val="nil"/>
            </w:tcBorders>
          </w:tcPr>
          <w:p w14:paraId="224A190D">
            <w:pPr>
              <w:jc w:val="both"/>
              <w:rPr>
                <w:rFonts w:ascii="Times New Roman" w:hAnsi="Times New Roman" w:eastAsia="宋体"/>
                <w:color w:val="auto"/>
                <w:sz w:val="24"/>
                <w:szCs w:val="24"/>
                <w:highlight w:val="none"/>
                <w:lang w:eastAsia="zh-CN"/>
              </w:rPr>
            </w:pPr>
          </w:p>
        </w:tc>
        <w:tc>
          <w:tcPr>
            <w:tcW w:w="1418" w:type="dxa"/>
            <w:tcBorders>
              <w:top w:val="single" w:color="auto" w:sz="4" w:space="0"/>
              <w:left w:val="nil"/>
              <w:bottom w:val="nil"/>
              <w:right w:val="nil"/>
            </w:tcBorders>
          </w:tcPr>
          <w:p w14:paraId="324526E3">
            <w:pPr>
              <w:jc w:val="both"/>
              <w:rPr>
                <w:rFonts w:ascii="Times New Roman" w:hAnsi="Times New Roman" w:eastAsia="宋体"/>
                <w:color w:val="auto"/>
                <w:sz w:val="24"/>
                <w:szCs w:val="24"/>
                <w:highlight w:val="none"/>
                <w:lang w:eastAsia="zh-CN"/>
              </w:rPr>
            </w:pPr>
          </w:p>
        </w:tc>
        <w:tc>
          <w:tcPr>
            <w:tcW w:w="1418" w:type="dxa"/>
            <w:tcBorders>
              <w:top w:val="single" w:color="auto" w:sz="4" w:space="0"/>
              <w:left w:val="nil"/>
              <w:bottom w:val="nil"/>
              <w:right w:val="nil"/>
            </w:tcBorders>
          </w:tcPr>
          <w:p w14:paraId="3DB94709">
            <w:pPr>
              <w:jc w:val="both"/>
              <w:rPr>
                <w:rFonts w:ascii="Times New Roman" w:hAnsi="Times New Roman" w:eastAsia="宋体"/>
                <w:color w:val="auto"/>
                <w:sz w:val="24"/>
                <w:szCs w:val="24"/>
                <w:highlight w:val="none"/>
                <w:lang w:eastAsia="zh-CN"/>
              </w:rPr>
            </w:pPr>
          </w:p>
        </w:tc>
        <w:tc>
          <w:tcPr>
            <w:tcW w:w="1418" w:type="dxa"/>
            <w:tcBorders>
              <w:top w:val="single" w:color="auto" w:sz="4" w:space="0"/>
              <w:left w:val="nil"/>
              <w:bottom w:val="nil"/>
              <w:right w:val="nil"/>
            </w:tcBorders>
            <w:vAlign w:val="center"/>
          </w:tcPr>
          <w:p w14:paraId="72088741">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9 5℃</w:t>
            </w:r>
          </w:p>
        </w:tc>
        <w:tc>
          <w:tcPr>
            <w:tcW w:w="1418" w:type="dxa"/>
            <w:tcBorders>
              <w:top w:val="single" w:color="auto" w:sz="4" w:space="0"/>
              <w:left w:val="nil"/>
              <w:bottom w:val="nil"/>
              <w:right w:val="nil"/>
            </w:tcBorders>
            <w:vAlign w:val="center"/>
          </w:tcPr>
          <w:p w14:paraId="43D3B763">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15 sec</w:t>
            </w:r>
          </w:p>
        </w:tc>
      </w:tr>
      <w:tr w14:paraId="431D4AD9">
        <w:tblPrEx>
          <w:tblCellMar>
            <w:top w:w="0" w:type="dxa"/>
            <w:left w:w="108" w:type="dxa"/>
            <w:bottom w:w="0" w:type="dxa"/>
            <w:right w:w="108" w:type="dxa"/>
          </w:tblCellMar>
        </w:tblPrEx>
        <w:trPr>
          <w:trHeight w:val="340" w:hRule="atLeast"/>
          <w:jc w:val="center"/>
        </w:trPr>
        <w:tc>
          <w:tcPr>
            <w:tcW w:w="1418" w:type="dxa"/>
            <w:tcBorders>
              <w:top w:val="nil"/>
              <w:left w:val="nil"/>
              <w:right w:val="nil"/>
            </w:tcBorders>
          </w:tcPr>
          <w:p w14:paraId="0CC72B52">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Stage  3</w:t>
            </w:r>
          </w:p>
        </w:tc>
        <w:tc>
          <w:tcPr>
            <w:tcW w:w="1418" w:type="dxa"/>
            <w:tcBorders>
              <w:top w:val="nil"/>
              <w:left w:val="nil"/>
              <w:right w:val="nil"/>
            </w:tcBorders>
          </w:tcPr>
          <w:p w14:paraId="5D0E4018">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The melting curve</w:t>
            </w:r>
            <w:r>
              <w:rPr>
                <w:rFonts w:hint="eastAsia" w:ascii="Times New Roman" w:hAnsi="Times New Roman" w:eastAsia="宋体"/>
                <w:color w:val="auto"/>
                <w:sz w:val="24"/>
                <w:szCs w:val="24"/>
                <w:highlight w:val="none"/>
                <w:vertAlign w:val="superscript"/>
                <w:lang w:eastAsia="zh-CN"/>
              </w:rPr>
              <w:t>d</w:t>
            </w:r>
          </w:p>
        </w:tc>
        <w:tc>
          <w:tcPr>
            <w:tcW w:w="1418" w:type="dxa"/>
            <w:tcBorders>
              <w:top w:val="nil"/>
              <w:left w:val="nil"/>
              <w:right w:val="nil"/>
            </w:tcBorders>
          </w:tcPr>
          <w:p w14:paraId="6B280FE8">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Reps:1</w:t>
            </w:r>
          </w:p>
        </w:tc>
        <w:tc>
          <w:tcPr>
            <w:tcW w:w="1418" w:type="dxa"/>
            <w:tcBorders>
              <w:top w:val="nil"/>
              <w:left w:val="nil"/>
              <w:right w:val="nil"/>
            </w:tcBorders>
            <w:vAlign w:val="center"/>
          </w:tcPr>
          <w:p w14:paraId="4D0FD550">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60℃</w:t>
            </w:r>
          </w:p>
        </w:tc>
        <w:tc>
          <w:tcPr>
            <w:tcW w:w="1418" w:type="dxa"/>
            <w:tcBorders>
              <w:top w:val="nil"/>
              <w:left w:val="nil"/>
              <w:right w:val="nil"/>
            </w:tcBorders>
            <w:vAlign w:val="center"/>
          </w:tcPr>
          <w:p w14:paraId="210FEBF9">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60 sec</w:t>
            </w:r>
          </w:p>
        </w:tc>
      </w:tr>
      <w:tr w14:paraId="531D5EB0">
        <w:tblPrEx>
          <w:tblCellMar>
            <w:top w:w="0" w:type="dxa"/>
            <w:left w:w="108" w:type="dxa"/>
            <w:bottom w:w="0" w:type="dxa"/>
            <w:right w:w="108" w:type="dxa"/>
          </w:tblCellMar>
        </w:tblPrEx>
        <w:trPr>
          <w:trHeight w:val="340" w:hRule="atLeast"/>
          <w:jc w:val="center"/>
        </w:trPr>
        <w:tc>
          <w:tcPr>
            <w:tcW w:w="1418" w:type="dxa"/>
            <w:tcBorders>
              <w:top w:val="nil"/>
              <w:left w:val="nil"/>
              <w:bottom w:val="single" w:color="auto" w:sz="4" w:space="0"/>
              <w:right w:val="nil"/>
            </w:tcBorders>
          </w:tcPr>
          <w:p w14:paraId="4FD1E5FB">
            <w:pPr>
              <w:jc w:val="both"/>
              <w:rPr>
                <w:rFonts w:ascii="Times New Roman" w:hAnsi="Times New Roman" w:eastAsia="宋体"/>
                <w:color w:val="auto"/>
                <w:sz w:val="24"/>
                <w:szCs w:val="24"/>
                <w:highlight w:val="none"/>
                <w:lang w:eastAsia="zh-CN"/>
              </w:rPr>
            </w:pPr>
          </w:p>
        </w:tc>
        <w:tc>
          <w:tcPr>
            <w:tcW w:w="1418" w:type="dxa"/>
            <w:tcBorders>
              <w:top w:val="nil"/>
              <w:left w:val="nil"/>
              <w:bottom w:val="single" w:color="auto" w:sz="4" w:space="0"/>
              <w:right w:val="nil"/>
            </w:tcBorders>
          </w:tcPr>
          <w:p w14:paraId="7BB1E5BD">
            <w:pPr>
              <w:jc w:val="both"/>
              <w:rPr>
                <w:rFonts w:ascii="Times New Roman" w:hAnsi="Times New Roman" w:eastAsia="宋体"/>
                <w:color w:val="auto"/>
                <w:sz w:val="24"/>
                <w:szCs w:val="24"/>
                <w:highlight w:val="none"/>
                <w:lang w:eastAsia="zh-CN"/>
              </w:rPr>
            </w:pPr>
          </w:p>
        </w:tc>
        <w:tc>
          <w:tcPr>
            <w:tcW w:w="1418" w:type="dxa"/>
            <w:tcBorders>
              <w:top w:val="nil"/>
              <w:left w:val="nil"/>
              <w:bottom w:val="single" w:color="auto" w:sz="4" w:space="0"/>
              <w:right w:val="nil"/>
            </w:tcBorders>
          </w:tcPr>
          <w:p w14:paraId="1DF77124">
            <w:pPr>
              <w:jc w:val="both"/>
              <w:rPr>
                <w:rFonts w:ascii="Times New Roman" w:hAnsi="Times New Roman" w:eastAsia="宋体"/>
                <w:color w:val="auto"/>
                <w:sz w:val="24"/>
                <w:szCs w:val="24"/>
                <w:highlight w:val="none"/>
                <w:lang w:eastAsia="zh-CN"/>
              </w:rPr>
            </w:pPr>
          </w:p>
        </w:tc>
        <w:tc>
          <w:tcPr>
            <w:tcW w:w="1418" w:type="dxa"/>
            <w:tcBorders>
              <w:top w:val="nil"/>
              <w:left w:val="nil"/>
              <w:bottom w:val="single" w:color="auto" w:sz="4" w:space="0"/>
              <w:right w:val="nil"/>
            </w:tcBorders>
            <w:vAlign w:val="center"/>
          </w:tcPr>
          <w:p w14:paraId="6FACF4AE">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95℃</w:t>
            </w:r>
          </w:p>
        </w:tc>
        <w:tc>
          <w:tcPr>
            <w:tcW w:w="1418" w:type="dxa"/>
            <w:tcBorders>
              <w:top w:val="nil"/>
              <w:left w:val="nil"/>
              <w:bottom w:val="single" w:color="auto" w:sz="4" w:space="0"/>
              <w:right w:val="nil"/>
            </w:tcBorders>
            <w:vAlign w:val="center"/>
          </w:tcPr>
          <w:p w14:paraId="46220867">
            <w:pPr>
              <w:jc w:val="both"/>
              <w:rPr>
                <w:rFonts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lang w:eastAsia="zh-CN"/>
              </w:rPr>
              <w:t>15 sec</w:t>
            </w:r>
          </w:p>
        </w:tc>
      </w:tr>
    </w:tbl>
    <w:p w14:paraId="0B61B6DD">
      <w:pPr>
        <w:spacing w:line="360" w:lineRule="auto"/>
        <w:jc w:val="both"/>
        <w:rPr>
          <w:rFonts w:ascii="Times New Roman" w:hAnsi="Times New Roman" w:eastAsia="宋体" w:cs="Times New Roman"/>
          <w:color w:val="auto"/>
          <w:sz w:val="24"/>
          <w:szCs w:val="24"/>
          <w:highlight w:val="none"/>
          <w:lang w:eastAsia="zh-CN"/>
        </w:rPr>
      </w:pPr>
    </w:p>
    <w:p w14:paraId="06FA3086">
      <w:pPr>
        <w:tabs>
          <w:tab w:val="left" w:pos="760"/>
        </w:tabs>
        <w:autoSpaceDE/>
        <w:autoSpaceDN/>
        <w:spacing w:line="360" w:lineRule="auto"/>
        <w:jc w:val="both"/>
        <w:rPr>
          <w:rFonts w:ascii="Times New Roman" w:hAnsi="Times New Roman" w:eastAsia="宋体" w:cs="Times New Roman"/>
          <w:b/>
          <w:color w:val="auto"/>
          <w:sz w:val="24"/>
          <w:szCs w:val="24"/>
          <w:highlight w:val="none"/>
          <w:lang w:eastAsia="zh-CN"/>
        </w:rPr>
      </w:pPr>
      <w:r>
        <w:rPr>
          <w:rFonts w:ascii="Times New Roman" w:hAnsi="Times New Roman" w:eastAsia="宋体" w:cs="Times New Roman"/>
          <w:b/>
          <w:color w:val="auto"/>
          <w:sz w:val="24"/>
          <w:szCs w:val="24"/>
          <w:highlight w:val="none"/>
          <w:lang w:eastAsia="zh-CN"/>
        </w:rPr>
        <w:t xml:space="preserve">Note: </w:t>
      </w:r>
    </w:p>
    <w:p w14:paraId="12648FBE">
      <w:pPr>
        <w:tabs>
          <w:tab w:val="left" w:pos="760"/>
        </w:tabs>
        <w:autoSpaceDE/>
        <w:autoSpaceDN/>
        <w:spacing w:line="360" w:lineRule="auto"/>
        <w:jc w:val="both"/>
        <w:rPr>
          <w:rFonts w:ascii="Times New Roman" w:hAnsi="Times New Roman" w:eastAsia="宋体" w:cstheme="minorEastAsia"/>
          <w:color w:val="auto"/>
          <w:sz w:val="24"/>
          <w:szCs w:val="24"/>
          <w:highlight w:val="none"/>
          <w:lang w:eastAsia="zh-CN"/>
        </w:rPr>
      </w:pPr>
      <w:r>
        <w:rPr>
          <w:rFonts w:ascii="Times New Roman" w:hAnsi="Times New Roman" w:eastAsia="宋体" w:cs="Times New Roman"/>
          <w:b/>
          <w:color w:val="auto"/>
          <w:sz w:val="24"/>
          <w:szCs w:val="24"/>
          <w:highlight w:val="none"/>
          <w:lang w:eastAsia="zh-CN"/>
        </w:rPr>
        <w:t>A. The pre-denaturation condition is suitable for most amplification reactions. If the template structure is complex, the pre-denaturation time can be extended to 3 min to improve the pre-denaturation effect.</w:t>
      </w:r>
    </w:p>
    <w:p w14:paraId="70C916BC">
      <w:pPr>
        <w:tabs>
          <w:tab w:val="left" w:pos="760"/>
        </w:tabs>
        <w:autoSpaceDE/>
        <w:autoSpaceDN/>
        <w:spacing w:line="360" w:lineRule="auto"/>
        <w:jc w:val="both"/>
        <w:rPr>
          <w:rFonts w:ascii="Times New Roman" w:hAnsi="Times New Roman" w:eastAsia="宋体" w:cstheme="minorEastAsia"/>
          <w:color w:val="auto"/>
          <w:sz w:val="24"/>
          <w:szCs w:val="24"/>
          <w:highlight w:val="none"/>
          <w:lang w:eastAsia="zh-CN"/>
        </w:rPr>
      </w:pPr>
      <w:r>
        <w:rPr>
          <w:rFonts w:ascii="Times New Roman" w:hAnsi="Times New Roman" w:eastAsia="宋体" w:cstheme="minorEastAsia"/>
          <w:color w:val="auto"/>
          <w:sz w:val="24"/>
          <w:szCs w:val="24"/>
          <w:highlight w:val="none"/>
          <w:lang w:eastAsia="zh-CN"/>
        </w:rPr>
        <w:t>B. Standard procedure selection 10 sec; quick procedure minimum optional 3 sec.</w:t>
      </w:r>
    </w:p>
    <w:p w14:paraId="2EE4B94D">
      <w:pPr>
        <w:tabs>
          <w:tab w:val="left" w:pos="760"/>
        </w:tabs>
        <w:autoSpaceDE/>
        <w:autoSpaceDN/>
        <w:spacing w:line="360" w:lineRule="auto"/>
        <w:jc w:val="both"/>
        <w:rPr>
          <w:rFonts w:ascii="Times New Roman" w:hAnsi="Times New Roman" w:eastAsia="宋体" w:cstheme="minorEastAsia"/>
          <w:color w:val="auto"/>
          <w:sz w:val="24"/>
          <w:szCs w:val="24"/>
          <w:highlight w:val="none"/>
          <w:lang w:eastAsia="zh-CN"/>
        </w:rPr>
      </w:pPr>
      <w:r>
        <w:rPr>
          <w:rFonts w:ascii="Times New Roman" w:hAnsi="Times New Roman" w:eastAsia="宋体" w:cstheme="minorEastAsia"/>
          <w:color w:val="auto"/>
          <w:sz w:val="24"/>
          <w:szCs w:val="24"/>
          <w:highlight w:val="none"/>
          <w:lang w:eastAsia="zh-CN"/>
        </w:rPr>
        <w:t>C. Select 30 sec by standard procedure; Quick procedure: for amplicons within 200 bp, the minimum extension time can be set to 10 sec; over 200 bp, the recommended extension time is 30 sec.</w:t>
      </w:r>
    </w:p>
    <w:p w14:paraId="5671A680">
      <w:pPr>
        <w:tabs>
          <w:tab w:val="left" w:pos="760"/>
        </w:tabs>
        <w:autoSpaceDE/>
        <w:autoSpaceDN/>
        <w:spacing w:line="360" w:lineRule="auto"/>
        <w:jc w:val="both"/>
        <w:rPr>
          <w:rFonts w:ascii="Times New Roman" w:hAnsi="Times New Roman" w:eastAsia="宋体" w:cstheme="minorEastAsia"/>
          <w:color w:val="auto"/>
          <w:sz w:val="24"/>
          <w:szCs w:val="24"/>
          <w:highlight w:val="none"/>
          <w:lang w:eastAsia="zh-CN"/>
        </w:rPr>
      </w:pPr>
      <w:r>
        <w:rPr>
          <w:rFonts w:ascii="Times New Roman" w:hAnsi="Times New Roman" w:eastAsia="宋体" w:cstheme="minorEastAsia"/>
          <w:color w:val="auto"/>
          <w:sz w:val="24"/>
          <w:szCs w:val="24"/>
          <w:highlight w:val="none"/>
          <w:lang w:eastAsia="zh-CN"/>
        </w:rPr>
        <w:t>In d. Different instrument types, the melting curve acquisition procedure is different. Use the melting curve acquisition program by default.</w:t>
      </w:r>
    </w:p>
    <w:p w14:paraId="01A0C61B">
      <w:pPr>
        <w:tabs>
          <w:tab w:val="left" w:pos="760"/>
        </w:tabs>
        <w:autoSpaceDE/>
        <w:autoSpaceDN/>
        <w:spacing w:line="360" w:lineRule="auto"/>
        <w:ind w:firstLine="720" w:firstLineChars="300"/>
        <w:jc w:val="both"/>
        <w:rPr>
          <w:rFonts w:ascii="Times New Roman" w:hAnsi="Times New Roman" w:eastAsia="宋体" w:cstheme="minorEastAsia"/>
          <w:color w:val="auto"/>
          <w:sz w:val="24"/>
          <w:szCs w:val="24"/>
          <w:highlight w:val="none"/>
          <w:lang w:eastAsia="zh-CN"/>
        </w:rPr>
      </w:pPr>
    </w:p>
    <w:p w14:paraId="2D8855CA">
      <w:pPr>
        <w:autoSpaceDE/>
        <w:autoSpaceDN/>
        <w:spacing w:line="360" w:lineRule="auto"/>
        <w:jc w:val="both"/>
        <w:rPr>
          <w:rFonts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color w:val="auto"/>
          <w:sz w:val="24"/>
          <w:szCs w:val="24"/>
          <w:highlight w:val="none"/>
          <w:lang w:eastAsia="zh-CN"/>
        </w:rPr>
        <w:t>(6) Experimental data analysis</w:t>
      </w:r>
    </w:p>
    <w:p w14:paraId="029041E7">
      <w:pPr>
        <w:spacing w:line="360" w:lineRule="auto"/>
        <w:jc w:val="both"/>
        <w:rPr>
          <w:rFonts w:ascii="Times New Roman" w:hAnsi="Times New Roman" w:eastAsia="宋体"/>
          <w:color w:val="auto"/>
          <w:sz w:val="24"/>
          <w:szCs w:val="24"/>
          <w:highlight w:val="none"/>
        </w:rPr>
      </w:pPr>
    </w:p>
    <w:p w14:paraId="1879BB21">
      <w:pPr>
        <w:adjustRightInd w:val="0"/>
        <w:spacing w:line="360" w:lineRule="auto"/>
        <w:jc w:val="both"/>
        <w:rPr>
          <w:rFonts w:ascii="Times New Roman" w:hAnsi="Times New Roman" w:eastAsia="宋体" w:cstheme="minorEastAsia"/>
          <w:b/>
          <w:bCs/>
          <w:color w:val="auto"/>
          <w:spacing w:val="-1"/>
          <w:w w:val="99"/>
          <w:sz w:val="24"/>
          <w:szCs w:val="24"/>
          <w:highlight w:val="none"/>
        </w:rPr>
      </w:pPr>
      <w:r>
        <w:rPr>
          <w:rFonts w:hint="eastAsia" w:ascii="Times New Roman" w:hAnsi="Times New Roman" w:eastAsia="宋体" w:cs="Times New Roman"/>
          <w:b/>
          <w:bCs/>
          <w:color w:val="auto"/>
          <w:sz w:val="24"/>
          <w:szCs w:val="24"/>
          <w:highlight w:val="none"/>
          <w:lang w:eastAsia="zh-CN" w:bidi="ar-SA"/>
        </w:rPr>
        <w:t>Primer information</w:t>
      </w:r>
    </w:p>
    <w:tbl>
      <w:tblPr>
        <w:tblStyle w:val="9"/>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3095"/>
        <w:gridCol w:w="3105"/>
        <w:gridCol w:w="2212"/>
      </w:tblGrid>
      <w:tr w14:paraId="4828D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7" w:type="dxa"/>
            <w:tcBorders>
              <w:top w:val="single" w:color="auto" w:sz="4" w:space="0"/>
              <w:left w:val="nil"/>
              <w:bottom w:val="single" w:color="auto" w:sz="4" w:space="0"/>
              <w:right w:val="nil"/>
            </w:tcBorders>
            <w:vAlign w:val="center"/>
          </w:tcPr>
          <w:p w14:paraId="549DDE60">
            <w:pPr>
              <w:jc w:val="both"/>
              <w:rPr>
                <w:rFonts w:ascii="Times New Roman" w:hAnsi="Times New Roman" w:eastAsia="宋体" w:cs="Times New Roman"/>
                <w:b/>
                <w:bCs/>
                <w:color w:val="auto"/>
                <w:kern w:val="2"/>
                <w:sz w:val="24"/>
                <w:szCs w:val="24"/>
                <w:highlight w:val="none"/>
                <w:lang w:eastAsia="zh-CN"/>
              </w:rPr>
            </w:pPr>
            <w:r>
              <w:rPr>
                <w:rFonts w:hint="eastAsia" w:ascii="Times New Roman" w:hAnsi="Times New Roman" w:eastAsia="宋体" w:cs="Times New Roman"/>
                <w:b/>
                <w:bCs/>
                <w:color w:val="auto"/>
                <w:kern w:val="0"/>
                <w:sz w:val="24"/>
                <w:szCs w:val="24"/>
                <w:highlight w:val="none"/>
                <w:lang w:eastAsia="zh-CN"/>
              </w:rPr>
              <w:t>Target genes</w:t>
            </w:r>
          </w:p>
        </w:tc>
        <w:tc>
          <w:tcPr>
            <w:tcW w:w="3095" w:type="dxa"/>
            <w:tcBorders>
              <w:top w:val="single" w:color="auto" w:sz="4" w:space="0"/>
              <w:left w:val="nil"/>
              <w:bottom w:val="single" w:color="auto" w:sz="4" w:space="0"/>
              <w:right w:val="nil"/>
            </w:tcBorders>
            <w:vAlign w:val="center"/>
          </w:tcPr>
          <w:p w14:paraId="21D93ADC">
            <w:pPr>
              <w:jc w:val="both"/>
              <w:rPr>
                <w:rFonts w:ascii="Times New Roman" w:hAnsi="Times New Roman" w:eastAsia="宋体" w:cs="Times New Roman"/>
                <w:b/>
                <w:bCs/>
                <w:color w:val="auto"/>
                <w:kern w:val="2"/>
                <w:sz w:val="24"/>
                <w:szCs w:val="24"/>
                <w:highlight w:val="none"/>
                <w:lang w:eastAsia="zh-CN"/>
              </w:rPr>
            </w:pPr>
            <w:r>
              <w:rPr>
                <w:rFonts w:hint="eastAsia" w:ascii="Times New Roman" w:hAnsi="Times New Roman" w:eastAsia="宋体" w:cs="Times New Roman"/>
                <w:b/>
                <w:bCs/>
                <w:color w:val="auto"/>
                <w:kern w:val="0"/>
                <w:sz w:val="24"/>
                <w:szCs w:val="24"/>
                <w:highlight w:val="none"/>
                <w:lang w:eastAsia="zh-CN"/>
              </w:rPr>
              <w:t>Upstream primer sequences</w:t>
            </w:r>
          </w:p>
        </w:tc>
        <w:tc>
          <w:tcPr>
            <w:tcW w:w="3105" w:type="dxa"/>
            <w:tcBorders>
              <w:top w:val="single" w:color="auto" w:sz="4" w:space="0"/>
              <w:left w:val="nil"/>
              <w:bottom w:val="single" w:color="auto" w:sz="4" w:space="0"/>
              <w:right w:val="nil"/>
            </w:tcBorders>
            <w:vAlign w:val="center"/>
          </w:tcPr>
          <w:p w14:paraId="53B67144">
            <w:pPr>
              <w:jc w:val="both"/>
              <w:rPr>
                <w:rFonts w:ascii="Times New Roman" w:hAnsi="Times New Roman" w:eastAsia="宋体" w:cs="Times New Roman"/>
                <w:b/>
                <w:bCs/>
                <w:color w:val="auto"/>
                <w:kern w:val="2"/>
                <w:sz w:val="24"/>
                <w:szCs w:val="24"/>
                <w:highlight w:val="none"/>
                <w:lang w:eastAsia="zh-CN"/>
              </w:rPr>
            </w:pPr>
            <w:r>
              <w:rPr>
                <w:rFonts w:hint="eastAsia" w:ascii="Times New Roman" w:hAnsi="Times New Roman" w:eastAsia="宋体" w:cs="Times New Roman"/>
                <w:b/>
                <w:bCs/>
                <w:color w:val="auto"/>
                <w:kern w:val="0"/>
                <w:sz w:val="24"/>
                <w:szCs w:val="24"/>
                <w:highlight w:val="none"/>
                <w:lang w:eastAsia="zh-CN"/>
              </w:rPr>
              <w:t>The downstream primer sequences</w:t>
            </w:r>
          </w:p>
        </w:tc>
        <w:tc>
          <w:tcPr>
            <w:tcW w:w="2212" w:type="dxa"/>
            <w:tcBorders>
              <w:top w:val="single" w:color="auto" w:sz="4" w:space="0"/>
              <w:left w:val="nil"/>
              <w:bottom w:val="single" w:color="auto" w:sz="4" w:space="0"/>
              <w:right w:val="nil"/>
            </w:tcBorders>
            <w:vAlign w:val="center"/>
          </w:tcPr>
          <w:p w14:paraId="69A888F6">
            <w:pPr>
              <w:jc w:val="both"/>
              <w:rPr>
                <w:rFonts w:ascii="Times New Roman" w:hAnsi="Times New Roman" w:eastAsia="宋体" w:cs="Times New Roman"/>
                <w:b/>
                <w:bCs/>
                <w:color w:val="auto"/>
                <w:kern w:val="2"/>
                <w:sz w:val="24"/>
                <w:szCs w:val="24"/>
                <w:highlight w:val="none"/>
                <w:lang w:eastAsia="zh-CN"/>
              </w:rPr>
            </w:pPr>
            <w:r>
              <w:rPr>
                <w:rFonts w:hint="eastAsia" w:ascii="Times New Roman" w:hAnsi="Times New Roman" w:eastAsia="宋体" w:cs="Times New Roman"/>
                <w:b/>
                <w:bCs/>
                <w:color w:val="auto"/>
                <w:kern w:val="0"/>
                <w:sz w:val="24"/>
                <w:szCs w:val="24"/>
                <w:highlight w:val="none"/>
                <w:lang w:eastAsia="zh-CN"/>
              </w:rPr>
              <w:t>Amplified fragment size (bp)</w:t>
            </w:r>
          </w:p>
        </w:tc>
      </w:tr>
      <w:tr w14:paraId="5B9F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477" w:type="dxa"/>
            <w:tcBorders>
              <w:top w:val="single" w:color="auto" w:sz="4" w:space="0"/>
              <w:left w:val="nil"/>
              <w:bottom w:val="single" w:color="auto" w:sz="4" w:space="0"/>
              <w:right w:val="nil"/>
            </w:tcBorders>
            <w:vAlign w:val="center"/>
          </w:tcPr>
          <w:p w14:paraId="76310849">
            <w:pPr>
              <w:widowControl/>
              <w:jc w:val="both"/>
              <w:textAlignment w:val="center"/>
              <w:rPr>
                <w:rFonts w:ascii="Times New Roman" w:hAnsi="Times New Roman" w:eastAsia="宋体" w:cs="Times New Roman"/>
                <w:color w:val="auto"/>
                <w:kern w:val="2"/>
                <w:sz w:val="20"/>
                <w:szCs w:val="20"/>
                <w:highlight w:val="none"/>
              </w:rPr>
            </w:pPr>
            <w:r>
              <w:rPr>
                <w:rFonts w:hint="eastAsia" w:ascii="Times New Roman" w:hAnsi="Times New Roman" w:eastAsia="宋体"/>
                <w:color w:val="auto"/>
                <w:kern w:val="2"/>
                <w:sz w:val="24"/>
                <w:szCs w:val="24"/>
                <w:highlight w:val="none"/>
                <w:lang w:eastAsia="zh-CN"/>
              </w:rPr>
              <w:t>DHCR7</w:t>
            </w:r>
          </w:p>
        </w:tc>
        <w:tc>
          <w:tcPr>
            <w:tcW w:w="3095" w:type="dxa"/>
            <w:tcBorders>
              <w:top w:val="single" w:color="auto" w:sz="4" w:space="0"/>
              <w:left w:val="nil"/>
              <w:bottom w:val="single" w:color="auto" w:sz="4" w:space="0"/>
              <w:right w:val="nil"/>
            </w:tcBorders>
            <w:vAlign w:val="center"/>
          </w:tcPr>
          <w:p w14:paraId="163C166A">
            <w:pPr>
              <w:widowControl/>
              <w:jc w:val="both"/>
              <w:textAlignment w:val="center"/>
              <w:rPr>
                <w:rFonts w:ascii="Times New Roman" w:hAnsi="Times New Roman" w:eastAsia="宋体" w:cs="Times New Roman"/>
                <w:color w:val="auto"/>
                <w:spacing w:val="-1"/>
                <w:w w:val="99"/>
                <w:kern w:val="2"/>
                <w:sz w:val="20"/>
                <w:szCs w:val="20"/>
                <w:highlight w:val="none"/>
              </w:rPr>
            </w:pPr>
            <w:r>
              <w:rPr>
                <w:rFonts w:hint="eastAsia" w:ascii="Times New Roman" w:hAnsi="Times New Roman" w:eastAsia="宋体" w:cs="Times New Roman"/>
                <w:color w:val="auto"/>
                <w:spacing w:val="-1"/>
                <w:w w:val="99"/>
                <w:kern w:val="2"/>
                <w:sz w:val="20"/>
                <w:szCs w:val="20"/>
                <w:highlight w:val="none"/>
              </w:rPr>
              <w:t>CAGGAAGCCCAAGGTCATC</w:t>
            </w:r>
          </w:p>
        </w:tc>
        <w:tc>
          <w:tcPr>
            <w:tcW w:w="3105" w:type="dxa"/>
            <w:tcBorders>
              <w:top w:val="single" w:color="auto" w:sz="4" w:space="0"/>
              <w:left w:val="nil"/>
              <w:bottom w:val="single" w:color="auto" w:sz="4" w:space="0"/>
              <w:right w:val="nil"/>
            </w:tcBorders>
            <w:vAlign w:val="center"/>
          </w:tcPr>
          <w:p w14:paraId="42BAB593">
            <w:pPr>
              <w:widowControl/>
              <w:jc w:val="both"/>
              <w:textAlignment w:val="center"/>
              <w:rPr>
                <w:rFonts w:ascii="Times New Roman" w:hAnsi="Times New Roman" w:eastAsia="宋体" w:cs="Times New Roman"/>
                <w:color w:val="auto"/>
                <w:spacing w:val="-1"/>
                <w:w w:val="99"/>
                <w:kern w:val="2"/>
                <w:sz w:val="20"/>
                <w:szCs w:val="20"/>
                <w:highlight w:val="none"/>
              </w:rPr>
            </w:pPr>
            <w:r>
              <w:rPr>
                <w:rFonts w:hint="eastAsia" w:ascii="Times New Roman" w:hAnsi="Times New Roman" w:eastAsia="宋体" w:cs="Times New Roman"/>
                <w:color w:val="auto"/>
                <w:spacing w:val="-1"/>
                <w:w w:val="99"/>
                <w:kern w:val="2"/>
                <w:sz w:val="20"/>
                <w:szCs w:val="20"/>
                <w:highlight w:val="none"/>
              </w:rPr>
              <w:t>AGCAGGCGGTAAGGCAC</w:t>
            </w:r>
          </w:p>
        </w:tc>
        <w:tc>
          <w:tcPr>
            <w:tcW w:w="2212" w:type="dxa"/>
            <w:tcBorders>
              <w:top w:val="single" w:color="auto" w:sz="4" w:space="0"/>
              <w:left w:val="nil"/>
              <w:bottom w:val="single" w:color="auto" w:sz="4" w:space="0"/>
              <w:right w:val="nil"/>
            </w:tcBorders>
            <w:vAlign w:val="center"/>
          </w:tcPr>
          <w:p w14:paraId="41CEA937">
            <w:pPr>
              <w:widowControl/>
              <w:jc w:val="both"/>
              <w:textAlignment w:val="center"/>
              <w:rPr>
                <w:rFonts w:hint="default" w:ascii="Times New Roman" w:hAnsi="Times New Roman" w:eastAsia="宋体" w:cs="Times New Roman"/>
                <w:color w:val="auto"/>
                <w:spacing w:val="-1"/>
                <w:w w:val="99"/>
                <w:kern w:val="2"/>
                <w:sz w:val="20"/>
                <w:szCs w:val="20"/>
                <w:highlight w:val="none"/>
                <w:lang w:val="en-US" w:eastAsia="zh-CN"/>
              </w:rPr>
            </w:pPr>
            <w:r>
              <w:rPr>
                <w:rFonts w:hint="eastAsia" w:ascii="Times New Roman" w:hAnsi="Times New Roman" w:eastAsia="宋体" w:cs="Times New Roman"/>
                <w:color w:val="auto"/>
                <w:spacing w:val="-1"/>
                <w:w w:val="99"/>
                <w:kern w:val="2"/>
                <w:sz w:val="20"/>
                <w:szCs w:val="20"/>
                <w:highlight w:val="none"/>
                <w:lang w:val="en-US" w:eastAsia="zh-CN"/>
              </w:rPr>
              <w:t>297</w:t>
            </w:r>
          </w:p>
        </w:tc>
      </w:tr>
    </w:tbl>
    <w:p w14:paraId="01E1E94D">
      <w:pPr>
        <w:tabs>
          <w:tab w:val="left" w:pos="760"/>
        </w:tabs>
        <w:autoSpaceDE/>
        <w:autoSpaceDN/>
        <w:spacing w:line="360" w:lineRule="auto"/>
        <w:jc w:val="both"/>
        <w:rPr>
          <w:rFonts w:ascii="Times New Roman" w:hAnsi="Times New Roman" w:eastAsia="宋体" w:cstheme="minorEastAsia"/>
          <w:color w:val="auto"/>
          <w:sz w:val="24"/>
          <w:szCs w:val="24"/>
          <w:highlight w:val="none"/>
          <w:lang w:eastAsia="zh-CN"/>
        </w:rPr>
      </w:pPr>
    </w:p>
    <w:p w14:paraId="1AB91B87">
      <w:pPr>
        <w:pStyle w:val="14"/>
        <w:tabs>
          <w:tab w:val="left" w:pos="760"/>
        </w:tabs>
        <w:autoSpaceDE/>
        <w:autoSpaceDN/>
        <w:spacing w:line="360" w:lineRule="auto"/>
        <w:ind w:left="0" w:right="686" w:firstLine="0"/>
        <w:jc w:val="both"/>
        <w:rPr>
          <w:rFonts w:ascii="Times New Roman" w:hAnsi="Times New Roman" w:eastAsia="宋体"/>
          <w:color w:val="auto"/>
          <w:sz w:val="24"/>
          <w:szCs w:val="24"/>
          <w:highlight w:val="none"/>
          <w:lang w:eastAsia="zh-CN"/>
        </w:rPr>
      </w:pPr>
    </w:p>
    <w:p w14:paraId="04923A9F">
      <w:pPr>
        <w:pStyle w:val="14"/>
        <w:tabs>
          <w:tab w:val="left" w:pos="760"/>
        </w:tabs>
        <w:autoSpaceDE/>
        <w:autoSpaceDN/>
        <w:spacing w:line="360" w:lineRule="auto"/>
        <w:ind w:left="0" w:right="686" w:firstLine="0"/>
        <w:jc w:val="both"/>
        <w:rPr>
          <w:rFonts w:ascii="Times New Roman" w:hAnsi="Times New Roman" w:eastAsia="宋体"/>
          <w:color w:val="auto"/>
          <w:sz w:val="24"/>
          <w:szCs w:val="24"/>
          <w:highlight w:val="none"/>
          <w:lang w:eastAsia="zh-CN"/>
        </w:rPr>
      </w:pPr>
      <w:r>
        <w:rPr>
          <w:rFonts w:ascii="Times New Roman" w:hAnsi="Times New Roman" w:eastAsia="宋体"/>
          <w:color w:val="auto"/>
          <w:sz w:val="24"/>
          <w:szCs w:val="24"/>
          <w:highlight w:val="none"/>
          <w:lang w:eastAsia="zh-CN"/>
        </w:rPr>
        <w:br w:type="page"/>
      </w:r>
      <w:bookmarkStart w:id="9" w:name="OLE_LINK4"/>
    </w:p>
    <w:p w14:paraId="08597F1C">
      <w:pPr>
        <w:pStyle w:val="14"/>
        <w:tabs>
          <w:tab w:val="left" w:pos="760"/>
        </w:tabs>
        <w:autoSpaceDE/>
        <w:autoSpaceDN/>
        <w:spacing w:line="360" w:lineRule="auto"/>
        <w:ind w:left="0" w:right="686" w:firstLine="0"/>
        <w:jc w:val="both"/>
        <w:rPr>
          <w:rFonts w:ascii="Times New Roman" w:hAnsi="Times New Roman" w:eastAsia="宋体"/>
          <w:b/>
          <w:color w:val="auto"/>
          <w:sz w:val="28"/>
          <w:szCs w:val="28"/>
          <w:highlight w:val="none"/>
          <w:lang w:eastAsia="zh-CN"/>
        </w:rPr>
      </w:pPr>
      <w:r>
        <w:rPr>
          <w:rFonts w:hint="eastAsia" w:ascii="Times New Roman" w:hAnsi="Times New Roman" w:eastAsia="宋体"/>
          <w:b/>
          <w:color w:val="auto"/>
          <w:sz w:val="28"/>
          <w:szCs w:val="28"/>
          <w:highlight w:val="none"/>
          <w:lang w:eastAsia="zh-CN"/>
        </w:rPr>
        <w:t>6. Experimental results</w:t>
      </w:r>
      <w:bookmarkEnd w:id="9"/>
    </w:p>
    <w:p w14:paraId="49D60A93">
      <w:pPr>
        <w:spacing w:before="120" w:beforeLines="50" w:after="120" w:afterLines="50" w:line="360" w:lineRule="auto"/>
        <w:ind w:firstLine="482" w:firstLineChars="200"/>
        <w:jc w:val="both"/>
        <w:rPr>
          <w:rFonts w:hint="eastAsia" w:ascii="Times New Roman" w:hAnsi="Times New Roman" w:eastAsia="宋体"/>
          <w:b/>
          <w:color w:val="auto"/>
          <w:sz w:val="24"/>
          <w:szCs w:val="24"/>
          <w:highlight w:val="none"/>
          <w:lang w:eastAsia="zh-CN"/>
        </w:rPr>
      </w:pPr>
      <w:r>
        <w:rPr>
          <w:rFonts w:hint="eastAsia" w:ascii="Times New Roman" w:hAnsi="Times New Roman" w:eastAsia="宋体"/>
          <w:b/>
          <w:color w:val="auto"/>
          <w:sz w:val="24"/>
          <w:szCs w:val="24"/>
          <w:highlight w:val="none"/>
          <w:lang w:eastAsia="zh-CN"/>
        </w:rPr>
        <w:t>result display:</w:t>
      </w:r>
    </w:p>
    <w:p w14:paraId="3CC2B69C">
      <w:pPr>
        <w:spacing w:before="120" w:beforeLines="50" w:after="120" w:afterLines="50" w:line="360" w:lineRule="auto"/>
        <w:jc w:val="both"/>
        <w:rPr>
          <w:rFonts w:hint="eastAsia" w:ascii="Times New Roman" w:hAnsi="Times New Roman" w:eastAsia="宋体"/>
          <w:b/>
          <w:color w:val="auto"/>
          <w:sz w:val="24"/>
          <w:szCs w:val="24"/>
          <w:highlight w:val="none"/>
          <w:lang w:eastAsia="zh-CN"/>
        </w:rPr>
      </w:pPr>
      <w:r>
        <w:rPr>
          <w:rFonts w:hint="eastAsia" w:ascii="Times New Roman" w:hAnsi="Times New Roman" w:eastAsia="宋体"/>
          <w:b/>
          <w:color w:val="auto"/>
          <w:sz w:val="24"/>
          <w:szCs w:val="24"/>
          <w:highlight w:val="none"/>
          <w:lang w:eastAsia="zh-CN"/>
        </w:rPr>
        <w:object>
          <v:shape id="_x0000_i1025" o:spt="75" type="#_x0000_t75" style="height:273.3pt;width:513.05pt;" o:ole="t" filled="f" o:preferrelative="t" stroked="f" coordsize="21600,21600">
            <v:path/>
            <v:fill on="f" focussize="0,0"/>
            <v:stroke on="f"/>
            <v:imagedata r:id="rId7" o:title=""/>
            <o:lock v:ext="edit" aspectratio="t"/>
            <w10:wrap type="none"/>
            <w10:anchorlock/>
          </v:shape>
          <o:OLEObject Type="Embed" ProgID="Prism5.Document" ShapeID="_x0000_i1025" DrawAspect="Content" ObjectID="_1468075725" r:id="rId6">
            <o:LockedField>false</o:LockedField>
          </o:OLEObject>
        </w:object>
      </w:r>
    </w:p>
    <w:bookmarkEnd w:id="2"/>
    <w:p w14:paraId="3E847581">
      <w:pPr>
        <w:pStyle w:val="14"/>
        <w:tabs>
          <w:tab w:val="left" w:pos="760"/>
        </w:tabs>
        <w:autoSpaceDE/>
        <w:autoSpaceDN/>
        <w:spacing w:line="360" w:lineRule="auto"/>
        <w:ind w:left="0" w:right="686" w:firstLine="0"/>
        <w:jc w:val="both"/>
        <w:rPr>
          <w:rFonts w:ascii="Times New Roman" w:hAnsi="Times New Roman" w:eastAsia="宋体"/>
          <w:b/>
          <w:color w:val="auto"/>
          <w:sz w:val="28"/>
          <w:szCs w:val="28"/>
          <w:highlight w:val="none"/>
          <w:lang w:eastAsia="zh-CN"/>
        </w:rPr>
      </w:pPr>
      <w:r>
        <w:rPr>
          <w:rFonts w:hint="eastAsia" w:ascii="Times New Roman" w:hAnsi="Times New Roman" w:eastAsia="宋体"/>
          <w:color w:val="auto"/>
          <w:sz w:val="21"/>
          <w:szCs w:val="21"/>
          <w:highlight w:val="none"/>
          <w:lang w:eastAsia="zh-CN"/>
        </w:rPr>
        <w:t>Figure 1 Expression of the DHCR 7 gene in carcinoma versus adjacent carcinoma was determined by qPCR</w:t>
      </w:r>
    </w:p>
    <w:p w14:paraId="4B0D7256">
      <w:pPr>
        <w:pStyle w:val="14"/>
        <w:tabs>
          <w:tab w:val="left" w:pos="760"/>
        </w:tabs>
        <w:autoSpaceDE/>
        <w:autoSpaceDN/>
        <w:spacing w:line="360" w:lineRule="auto"/>
        <w:ind w:left="0" w:right="686" w:firstLine="0"/>
        <w:jc w:val="both"/>
      </w:pPr>
    </w:p>
    <w:p w14:paraId="62A0C1F1">
      <w:pPr>
        <w:spacing w:line="360" w:lineRule="auto"/>
        <w:jc w:val="both"/>
        <w:rPr>
          <w:rFonts w:ascii="Times New Roman" w:hAnsi="Times New Roman" w:eastAsia="宋体"/>
          <w:color w:val="auto"/>
          <w:highlight w:val="none"/>
          <w:lang w:eastAsia="zh-CN"/>
        </w:rPr>
      </w:pPr>
      <w:r>
        <w:rPr>
          <w:rFonts w:ascii="Times New Roman" w:hAnsi="Times New Roman" w:eastAsia="宋体"/>
          <w:color w:val="auto"/>
          <w:highlight w:val="none"/>
          <w:lang w:eastAsia="zh-CN"/>
        </w:rPr>
        <w:t>remarks:</w:t>
      </w:r>
    </w:p>
    <w:p w14:paraId="1FA71DFE">
      <w:pPr>
        <w:spacing w:line="360" w:lineRule="auto"/>
        <w:jc w:val="both"/>
        <w:rPr>
          <w:rFonts w:ascii="Times New Roman" w:hAnsi="Times New Roman" w:eastAsia="宋体"/>
          <w:color w:val="auto"/>
          <w:highlight w:val="none"/>
          <w:lang w:eastAsia="zh-CN"/>
        </w:rPr>
      </w:pPr>
      <w:r>
        <w:rPr>
          <w:rFonts w:hint="eastAsia" w:ascii="宋体" w:hAnsi="宋体" w:eastAsia="宋体" w:cs="宋体"/>
          <w:color w:val="auto"/>
          <w:highlight w:val="none"/>
          <w:lang w:eastAsia="zh-CN"/>
        </w:rPr>
        <w:t>① The preexperiment was tested with primers for a small sample size, the amplification curve and dissolution curve were normal, and the sequencing results were compared correctly, indicating that the primers were qualified. The expansion of the formal experimental sample size does not guarantee that the expression abundance of target genes in each sample is as high as that in the pre-experimental sample, so non-specific amplification, bimodal dissolution curve or excessive CT values due to the low abundance of the target gene may occur.</w:t>
      </w:r>
    </w:p>
    <w:p w14:paraId="11EEA91C">
      <w:pPr>
        <w:spacing w:line="360" w:lineRule="auto"/>
        <w:jc w:val="both"/>
        <w:rPr>
          <w:rFonts w:ascii="Times New Roman" w:hAnsi="Times New Roman" w:eastAsia="宋体"/>
          <w:color w:val="auto"/>
          <w:highlight w:val="none"/>
          <w:lang w:eastAsia="zh-CN"/>
        </w:rPr>
      </w:pPr>
      <w:r>
        <w:rPr>
          <w:rFonts w:hint="eastAsia" w:ascii="宋体" w:hAnsi="宋体" w:eastAsia="宋体" w:cs="宋体"/>
          <w:color w:val="auto"/>
          <w:highlight w:val="none"/>
          <w:lang w:eastAsia="zh-CN"/>
        </w:rPr>
        <w:t>② Formal test results, in the case of normal internal reference CT value, the CT value of the target gene is between 29 and 30, indicating that the expression of the target gene is low, the instrument has some error in the reading and calculation of the CT alue, and the repeatability between holes is low;</w:t>
      </w:r>
    </w:p>
    <w:p w14:paraId="2B8B46AD">
      <w:pPr>
        <w:spacing w:line="360" w:lineRule="auto"/>
        <w:jc w:val="both"/>
        <w:rPr>
          <w:rFonts w:ascii="Times New Roman" w:hAnsi="Times New Roman" w:eastAsia="宋体"/>
          <w:color w:val="auto"/>
          <w:highlight w:val="none"/>
          <w:lang w:eastAsia="zh-CN"/>
        </w:rPr>
      </w:pPr>
      <w:r>
        <w:rPr>
          <w:rFonts w:ascii="Times New Roman" w:hAnsi="Times New Roman" w:eastAsia="宋体"/>
          <w:color w:val="auto"/>
          <w:highlight w:val="none"/>
        </w:rPr>
        <w:fldChar w:fldCharType="begin"/>
      </w:r>
      <w:r>
        <w:rPr>
          <w:rFonts w:ascii="Times New Roman" w:hAnsi="Times New Roman" w:eastAsia="宋体"/>
          <w:color w:val="auto"/>
          <w:highlight w:val="none"/>
          <w:lang w:eastAsia="zh-CN"/>
        </w:rPr>
        <w:instrText xml:space="preserve"> = 3 \* GB3 </w:instrText>
      </w:r>
      <w:r>
        <w:rPr>
          <w:rFonts w:ascii="Times New Roman" w:hAnsi="Times New Roman" w:eastAsia="宋体"/>
          <w:color w:val="auto"/>
          <w:highlight w:val="none"/>
        </w:rPr>
        <w:fldChar w:fldCharType="separate"/>
      </w:r>
      <w:r>
        <w:rPr>
          <w:rFonts w:hint="eastAsia" w:ascii="宋体" w:hAnsi="宋体" w:eastAsia="宋体" w:cs="宋体"/>
          <w:color w:val="auto"/>
          <w:highlight w:val="none"/>
          <w:lang w:eastAsia="zh-CN"/>
        </w:rPr>
        <w:t>③</w:t>
      </w:r>
      <w:r>
        <w:rPr>
          <w:rFonts w:ascii="Times New Roman" w:hAnsi="Times New Roman" w:eastAsia="宋体"/>
          <w:color w:val="auto"/>
          <w:highlight w:val="none"/>
        </w:rPr>
        <w:fldChar w:fldCharType="end"/>
      </w:r>
      <w:r>
        <w:rPr>
          <w:rFonts w:hint="eastAsia" w:ascii="Times New Roman" w:hAnsi="Times New Roman" w:eastAsia="宋体"/>
          <w:color w:val="auto"/>
          <w:highlight w:val="none"/>
          <w:lang w:eastAsia="zh-CN"/>
        </w:rPr>
        <w:t>In the formal test results, if the CT value of the target gene was greater than 30 or undetectable, indicating that the expression of the target gene is very low, the background fluorescence is higher than that of the target gene, the instrument has some error in the calculation of the CT value, and the reproducibility between holes is low. Size comparison of the CT values for the same samples in this interval is not recommended.</w:t>
      </w:r>
    </w:p>
    <w:p w14:paraId="189F6ACC">
      <w:pPr>
        <w:spacing w:line="360" w:lineRule="auto"/>
        <w:jc w:val="both"/>
        <w:rPr>
          <w:rFonts w:ascii="Times New Roman" w:hAnsi="Times New Roman" w:eastAsia="宋体"/>
          <w:color w:val="auto"/>
          <w:highlight w:val="none"/>
          <w:lang w:eastAsia="zh-CN"/>
        </w:rPr>
      </w:pPr>
    </w:p>
    <w:p w14:paraId="152F1E0E">
      <w:pPr>
        <w:pStyle w:val="14"/>
        <w:tabs>
          <w:tab w:val="left" w:pos="760"/>
        </w:tabs>
        <w:autoSpaceDE/>
        <w:autoSpaceDN/>
        <w:spacing w:line="360" w:lineRule="auto"/>
        <w:ind w:left="0" w:right="686" w:firstLine="0"/>
        <w:jc w:val="both"/>
        <w:rPr>
          <w:rFonts w:ascii="Times New Roman" w:hAnsi="Times New Roman" w:eastAsia="宋体"/>
          <w:b/>
          <w:color w:val="auto"/>
          <w:sz w:val="28"/>
          <w:szCs w:val="28"/>
          <w:highlight w:val="none"/>
          <w:lang w:eastAsia="zh-CN"/>
        </w:rPr>
      </w:pPr>
    </w:p>
    <w:sectPr>
      <w:headerReference r:id="rId4" w:type="first"/>
      <w:headerReference r:id="rId3" w:type="even"/>
      <w:pgSz w:w="11910" w:h="16840"/>
      <w:pgMar w:top="2268" w:right="1077" w:bottom="1440" w:left="1077" w:header="1191" w:footer="975"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9C9A">
    <w:pPr>
      <w:pStyle w:val="7"/>
    </w:pPr>
    <w:r>
      <w:pict>
        <v:shape id="PowerPlusWaterMarkObject253330641" o:spid="_x0000_s1026" o:spt="136" type="#_x0000_t136" style="position:absolute;left:0pt;height:99.45pt;width:630.1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t" xscale="f" string="OUTDO BIOTECH" style="font-family:微软雅黑;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65A0A">
    <w:pPr>
      <w:pStyle w:val="7"/>
    </w:pPr>
    <w:r>
      <w:pict>
        <v:shape id="PowerPlusWaterMarkObject253330640" o:spid="_x0000_s1025" o:spt="136" type="#_x0000_t136" style="position:absolute;left:0pt;height:99.45pt;width:630.1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t" xscale="f" string="OUTDO BIOTECH" style="font-family:微软雅黑;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75B8C"/>
    <w:multiLevelType w:val="singleLevel"/>
    <w:tmpl w:val="93375B8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583E9D"/>
    <w:rsid w:val="000063EB"/>
    <w:rsid w:val="0002356D"/>
    <w:rsid w:val="00037224"/>
    <w:rsid w:val="00043D18"/>
    <w:rsid w:val="000D42E3"/>
    <w:rsid w:val="000D47F2"/>
    <w:rsid w:val="001022CC"/>
    <w:rsid w:val="0018201A"/>
    <w:rsid w:val="00191699"/>
    <w:rsid w:val="001B3B48"/>
    <w:rsid w:val="001D12A1"/>
    <w:rsid w:val="001D283A"/>
    <w:rsid w:val="001F2317"/>
    <w:rsid w:val="00253484"/>
    <w:rsid w:val="00295D4E"/>
    <w:rsid w:val="002A2FA6"/>
    <w:rsid w:val="002A52BF"/>
    <w:rsid w:val="002A7FB0"/>
    <w:rsid w:val="002B5E1C"/>
    <w:rsid w:val="002D1EC3"/>
    <w:rsid w:val="002E48D8"/>
    <w:rsid w:val="00305AD8"/>
    <w:rsid w:val="00336207"/>
    <w:rsid w:val="00340B33"/>
    <w:rsid w:val="003421AC"/>
    <w:rsid w:val="003443B7"/>
    <w:rsid w:val="00347BE9"/>
    <w:rsid w:val="00362325"/>
    <w:rsid w:val="003739F5"/>
    <w:rsid w:val="003A5A3D"/>
    <w:rsid w:val="003A61DB"/>
    <w:rsid w:val="003B73BF"/>
    <w:rsid w:val="003E37BC"/>
    <w:rsid w:val="00405F8F"/>
    <w:rsid w:val="00413605"/>
    <w:rsid w:val="004314BF"/>
    <w:rsid w:val="00444F05"/>
    <w:rsid w:val="00450783"/>
    <w:rsid w:val="00451C3A"/>
    <w:rsid w:val="004560F8"/>
    <w:rsid w:val="00464482"/>
    <w:rsid w:val="0048247D"/>
    <w:rsid w:val="004C0AA7"/>
    <w:rsid w:val="004C0E69"/>
    <w:rsid w:val="004F05F8"/>
    <w:rsid w:val="00506FE5"/>
    <w:rsid w:val="00520853"/>
    <w:rsid w:val="00526368"/>
    <w:rsid w:val="0053606B"/>
    <w:rsid w:val="00541FFD"/>
    <w:rsid w:val="00553B44"/>
    <w:rsid w:val="005623D8"/>
    <w:rsid w:val="00583E9D"/>
    <w:rsid w:val="005858A8"/>
    <w:rsid w:val="005862C8"/>
    <w:rsid w:val="005B7606"/>
    <w:rsid w:val="005D6969"/>
    <w:rsid w:val="005D7213"/>
    <w:rsid w:val="005E1C2C"/>
    <w:rsid w:val="00610BB3"/>
    <w:rsid w:val="0065340A"/>
    <w:rsid w:val="00684B67"/>
    <w:rsid w:val="006A6E88"/>
    <w:rsid w:val="006C3D54"/>
    <w:rsid w:val="00711F33"/>
    <w:rsid w:val="00751C42"/>
    <w:rsid w:val="007651ED"/>
    <w:rsid w:val="00785BE4"/>
    <w:rsid w:val="0079243D"/>
    <w:rsid w:val="007A76AE"/>
    <w:rsid w:val="007B772A"/>
    <w:rsid w:val="007C6E65"/>
    <w:rsid w:val="007C7A60"/>
    <w:rsid w:val="007D0772"/>
    <w:rsid w:val="007E21C2"/>
    <w:rsid w:val="007E3EEC"/>
    <w:rsid w:val="007E56A8"/>
    <w:rsid w:val="00805516"/>
    <w:rsid w:val="00815A28"/>
    <w:rsid w:val="0082204A"/>
    <w:rsid w:val="008330D7"/>
    <w:rsid w:val="008544ED"/>
    <w:rsid w:val="00882A61"/>
    <w:rsid w:val="00882D43"/>
    <w:rsid w:val="008850D6"/>
    <w:rsid w:val="008C0B7F"/>
    <w:rsid w:val="008C4D46"/>
    <w:rsid w:val="009041FD"/>
    <w:rsid w:val="00905F76"/>
    <w:rsid w:val="00974C8E"/>
    <w:rsid w:val="009809B7"/>
    <w:rsid w:val="00994FAB"/>
    <w:rsid w:val="009A593C"/>
    <w:rsid w:val="009D1731"/>
    <w:rsid w:val="009D4451"/>
    <w:rsid w:val="00A062BD"/>
    <w:rsid w:val="00A328EE"/>
    <w:rsid w:val="00A50162"/>
    <w:rsid w:val="00A55A6B"/>
    <w:rsid w:val="00A61214"/>
    <w:rsid w:val="00A768EA"/>
    <w:rsid w:val="00A93004"/>
    <w:rsid w:val="00AA7C83"/>
    <w:rsid w:val="00AB6009"/>
    <w:rsid w:val="00AD6324"/>
    <w:rsid w:val="00AD75F0"/>
    <w:rsid w:val="00B21BF1"/>
    <w:rsid w:val="00B576BD"/>
    <w:rsid w:val="00B60257"/>
    <w:rsid w:val="00B90C02"/>
    <w:rsid w:val="00C07C39"/>
    <w:rsid w:val="00C242BC"/>
    <w:rsid w:val="00C40447"/>
    <w:rsid w:val="00C516C9"/>
    <w:rsid w:val="00C80F42"/>
    <w:rsid w:val="00C93298"/>
    <w:rsid w:val="00CA0C39"/>
    <w:rsid w:val="00CD70FF"/>
    <w:rsid w:val="00CF6C44"/>
    <w:rsid w:val="00D008BF"/>
    <w:rsid w:val="00D109C3"/>
    <w:rsid w:val="00D17500"/>
    <w:rsid w:val="00D30AF2"/>
    <w:rsid w:val="00D319AF"/>
    <w:rsid w:val="00D36856"/>
    <w:rsid w:val="00D37FED"/>
    <w:rsid w:val="00D419E2"/>
    <w:rsid w:val="00D62BCD"/>
    <w:rsid w:val="00DE08A3"/>
    <w:rsid w:val="00DE5D27"/>
    <w:rsid w:val="00DE64E4"/>
    <w:rsid w:val="00E008D8"/>
    <w:rsid w:val="00E33229"/>
    <w:rsid w:val="00E9395F"/>
    <w:rsid w:val="00EB0B05"/>
    <w:rsid w:val="00ED2272"/>
    <w:rsid w:val="00EF5024"/>
    <w:rsid w:val="00F11376"/>
    <w:rsid w:val="00F20C5A"/>
    <w:rsid w:val="00F25D9B"/>
    <w:rsid w:val="00F45C1A"/>
    <w:rsid w:val="00F60DBC"/>
    <w:rsid w:val="00F6564E"/>
    <w:rsid w:val="00FA4F79"/>
    <w:rsid w:val="00FA5649"/>
    <w:rsid w:val="00FD0B9B"/>
    <w:rsid w:val="00FD2D37"/>
    <w:rsid w:val="00FF0F17"/>
    <w:rsid w:val="00FF348E"/>
    <w:rsid w:val="092D59F0"/>
    <w:rsid w:val="136D1FB7"/>
    <w:rsid w:val="14587163"/>
    <w:rsid w:val="18422604"/>
    <w:rsid w:val="18A009E8"/>
    <w:rsid w:val="1F9C6A9E"/>
    <w:rsid w:val="2417127A"/>
    <w:rsid w:val="27661F5A"/>
    <w:rsid w:val="27FF4AFF"/>
    <w:rsid w:val="2F6A069D"/>
    <w:rsid w:val="33590AD6"/>
    <w:rsid w:val="3498562E"/>
    <w:rsid w:val="3E330465"/>
    <w:rsid w:val="408A281A"/>
    <w:rsid w:val="4BF75C64"/>
    <w:rsid w:val="562C39D0"/>
    <w:rsid w:val="5DB46F7F"/>
    <w:rsid w:val="628E1C9B"/>
    <w:rsid w:val="6D4513C8"/>
    <w:rsid w:val="74920028"/>
    <w:rsid w:val="78727511"/>
    <w:rsid w:val="7E191883"/>
    <w:rsid w:val="7E7F1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微软雅黑" w:hAnsi="微软雅黑" w:eastAsia="微软雅黑" w:cs="微软雅黑"/>
      <w:sz w:val="22"/>
      <w:szCs w:val="22"/>
      <w:lang w:val="en-US" w:eastAsia="en-US" w:bidi="en-US"/>
    </w:rPr>
  </w:style>
  <w:style w:type="paragraph" w:styleId="2">
    <w:name w:val="heading 1"/>
    <w:basedOn w:val="1"/>
    <w:next w:val="1"/>
    <w:qFormat/>
    <w:uiPriority w:val="1"/>
    <w:pPr>
      <w:spacing w:before="1"/>
      <w:ind w:left="136"/>
      <w:outlineLvl w:val="0"/>
    </w:pPr>
    <w:rPr>
      <w:rFonts w:ascii="等线" w:hAnsi="等线" w:eastAsia="等线" w:cs="等线"/>
      <w:b/>
      <w:bCs/>
      <w:sz w:val="44"/>
      <w:szCs w:val="44"/>
    </w:rPr>
  </w:style>
  <w:style w:type="paragraph" w:styleId="3">
    <w:name w:val="heading 2"/>
    <w:basedOn w:val="1"/>
    <w:next w:val="1"/>
    <w:qFormat/>
    <w:uiPriority w:val="1"/>
    <w:pPr>
      <w:spacing w:before="34"/>
      <w:ind w:left="140"/>
      <w:outlineLvl w:val="1"/>
    </w:pPr>
    <w:rPr>
      <w:b/>
      <w:bCs/>
      <w:sz w:val="30"/>
      <w:szCs w:val="30"/>
    </w:rPr>
  </w:style>
  <w:style w:type="paragraph" w:styleId="4">
    <w:name w:val="heading 3"/>
    <w:basedOn w:val="1"/>
    <w:next w:val="1"/>
    <w:qFormat/>
    <w:uiPriority w:val="1"/>
    <w:pPr>
      <w:ind w:left="140"/>
      <w:outlineLvl w:val="2"/>
    </w:pPr>
    <w:rPr>
      <w:b/>
      <w:bCs/>
      <w:sz w:val="21"/>
      <w:szCs w:val="21"/>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b/>
      <w:bCs/>
      <w:sz w:val="18"/>
      <w:szCs w:val="18"/>
    </w:rPr>
  </w:style>
  <w:style w:type="paragraph" w:styleId="6">
    <w:name w:val="footer"/>
    <w:basedOn w:val="1"/>
    <w:link w:val="17"/>
    <w:qFormat/>
    <w:uiPriority w:val="0"/>
    <w:pPr>
      <w:tabs>
        <w:tab w:val="center" w:pos="4153"/>
        <w:tab w:val="right" w:pos="8306"/>
      </w:tabs>
      <w:snapToGrid w:val="0"/>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Emphasis"/>
    <w:basedOn w:val="10"/>
    <w:qFormat/>
    <w:uiPriority w:val="20"/>
    <w:rPr>
      <w:i/>
      <w:iCs/>
    </w:rPr>
  </w:style>
  <w:style w:type="character" w:styleId="12">
    <w:name w:val="Hyperlink"/>
    <w:basedOn w:val="10"/>
    <w:unhideWhenUsed/>
    <w:qFormat/>
    <w:uiPriority w:val="99"/>
    <w:rPr>
      <w:color w:val="0000FF"/>
      <w:u w:val="single"/>
    </w:r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34"/>
    <w:pPr>
      <w:ind w:left="565" w:hanging="426"/>
    </w:pPr>
  </w:style>
  <w:style w:type="paragraph" w:customStyle="1" w:styleId="15">
    <w:name w:val="Table Paragraph"/>
    <w:basedOn w:val="1"/>
    <w:qFormat/>
    <w:uiPriority w:val="1"/>
    <w:pPr>
      <w:spacing w:before="68"/>
      <w:ind w:left="485"/>
    </w:pPr>
    <w:rPr>
      <w:rFonts w:ascii="Times New Roman" w:hAnsi="Times New Roman" w:eastAsia="Times New Roman" w:cs="Times New Roman"/>
    </w:rPr>
  </w:style>
  <w:style w:type="character" w:customStyle="1" w:styleId="16">
    <w:name w:val="页眉 字符"/>
    <w:basedOn w:val="10"/>
    <w:link w:val="7"/>
    <w:qFormat/>
    <w:uiPriority w:val="0"/>
    <w:rPr>
      <w:rFonts w:ascii="微软雅黑" w:hAnsi="微软雅黑" w:eastAsia="微软雅黑" w:cs="微软雅黑"/>
      <w:sz w:val="18"/>
      <w:szCs w:val="18"/>
      <w:lang w:eastAsia="en-US" w:bidi="en-US"/>
    </w:rPr>
  </w:style>
  <w:style w:type="character" w:customStyle="1" w:styleId="17">
    <w:name w:val="页脚 字符"/>
    <w:basedOn w:val="10"/>
    <w:link w:val="6"/>
    <w:qFormat/>
    <w:uiPriority w:val="0"/>
    <w:rPr>
      <w:rFonts w:ascii="微软雅黑" w:hAnsi="微软雅黑" w:eastAsia="微软雅黑" w:cs="微软雅黑"/>
      <w:sz w:val="18"/>
      <w:szCs w:val="18"/>
      <w:lang w:eastAsia="en-US" w:bidi="en-US"/>
    </w:rPr>
  </w:style>
  <w:style w:type="character" w:customStyle="1" w:styleId="18">
    <w:name w:val="fontstyle01"/>
    <w:basedOn w:val="10"/>
    <w:qFormat/>
    <w:uiPriority w:val="0"/>
    <w:rPr>
      <w:rFonts w:hint="default" w:ascii="Times New Roman" w:hAnsi="Times New Roman" w:cs="Times New Roman"/>
      <w:color w:val="000000"/>
      <w:sz w:val="24"/>
      <w:szCs w:val="24"/>
    </w:rPr>
  </w:style>
  <w:style w:type="character" w:customStyle="1" w:styleId="19">
    <w:name w:val="fontstyle21"/>
    <w:basedOn w:val="10"/>
    <w:qFormat/>
    <w:uiPriority w:val="0"/>
    <w:rPr>
      <w:rFonts w:hint="eastAsia" w:ascii="宋体" w:hAnsi="宋体" w:eastAsia="宋体"/>
      <w:color w:val="000000"/>
      <w:sz w:val="24"/>
      <w:szCs w:val="24"/>
    </w:rPr>
  </w:style>
  <w:style w:type="paragraph" w:customStyle="1" w:styleId="20">
    <w:name w:val="列出段落1"/>
    <w:basedOn w:val="1"/>
    <w:unhideWhenUsed/>
    <w:qFormat/>
    <w:uiPriority w:val="99"/>
    <w:pPr>
      <w:autoSpaceDE/>
      <w:autoSpaceDN/>
      <w:ind w:firstLine="420" w:firstLineChars="200"/>
      <w:jc w:val="both"/>
    </w:pPr>
    <w:rPr>
      <w:rFonts w:ascii="Calibri" w:hAnsi="Calibri" w:eastAsia="宋体" w:cs="Times New Roman"/>
      <w:kern w:val="2"/>
      <w:sz w:val="21"/>
      <w:lang w:eastAsia="zh-CN" w:bidi="ar-SA"/>
    </w:rPr>
  </w:style>
  <w:style w:type="character" w:customStyle="1" w:styleId="21">
    <w:name w:val="font6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1182</Words>
  <Characters>5972</Characters>
  <Lines>23</Lines>
  <Paragraphs>6</Paragraphs>
  <TotalTime>2</TotalTime>
  <ScaleCrop>false</ScaleCrop>
  <LinksUpToDate>false</LinksUpToDate>
  <CharactersWithSpaces>7017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2021-07-02T08:15:00Z</dcterms:created>
  <dc:creator>学科建设技术 1</dc:creator>
  <cp:lastModifiedBy>周川</cp:lastModifiedBy>
  <cp:lastPrinted>2021-07-13T08:27:00Z</cp:lastPrinted>
  <dcterms:modified xsi:type="dcterms:W3CDTF">2024-12-07T10:11:54Z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2021-06-15T00:00:00Z</vt:filetime>
  </property>
  <property fmtid="{D5CDD505-2E9C-101B-9397-08002B2CF9AE}" pid="3" name="Creator">
    <vt:lpwstr>Microsoft® Word 适用于 Microsoft 365</vt:lpwstr>
  </property>
  <property fmtid="{D5CDD505-2E9C-101B-9397-08002B2CF9AE}" pid="4" name="LastSaved">
    <vt:filetime>2021-06-17T00:00:00Z</vt:filetime>
  </property>
  <property fmtid="{D5CDD505-2E9C-101B-9397-08002B2CF9AE}" pid="5" name="KSOProductBuildVer">
    <vt:lpwstr>2052-12.1.0.19302</vt:lpwstr>
  </property>
  <property fmtid="{D5CDD505-2E9C-101B-9397-08002B2CF9AE}" pid="6" name="ICV">
    <vt:lpwstr>A915A3516FA640F391EEB36CFD514763_13</vt:lpwstr>
  </property>
</Properties>
</file>