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4FA7"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1CE87371"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6A3BCDD5" w14:textId="77777777" w:rsidTr="00E341E9">
        <w:tc>
          <w:tcPr>
            <w:tcW w:w="1951" w:type="dxa"/>
          </w:tcPr>
          <w:p w14:paraId="1CA16B41"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779C4EBD"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4285965B"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19E5F7E7"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26642067"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08D1B72A" w14:textId="77777777" w:rsidTr="00E341E9">
        <w:tc>
          <w:tcPr>
            <w:tcW w:w="1951" w:type="dxa"/>
            <w:vMerge w:val="restart"/>
          </w:tcPr>
          <w:p w14:paraId="135449FC"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23A707B7" w14:textId="77777777" w:rsidR="00191A23" w:rsidRPr="0022554A" w:rsidRDefault="00191A23" w:rsidP="0022554A">
            <w:pPr>
              <w:tabs>
                <w:tab w:val="left" w:pos="5400"/>
              </w:tabs>
              <w:jc w:val="center"/>
              <w:rPr>
                <w:sz w:val="20"/>
              </w:rPr>
            </w:pPr>
            <w:r w:rsidRPr="0022554A">
              <w:rPr>
                <w:sz w:val="20"/>
              </w:rPr>
              <w:t>1</w:t>
            </w:r>
          </w:p>
        </w:tc>
        <w:tc>
          <w:tcPr>
            <w:tcW w:w="8031" w:type="dxa"/>
          </w:tcPr>
          <w:p w14:paraId="59DFAFAD"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75636286" w14:textId="62E71209" w:rsidR="00191A23" w:rsidRPr="0022554A" w:rsidRDefault="00942A7F" w:rsidP="0022554A">
            <w:pPr>
              <w:tabs>
                <w:tab w:val="left" w:pos="5400"/>
              </w:tabs>
              <w:rPr>
                <w:sz w:val="20"/>
              </w:rPr>
            </w:pPr>
            <w:r>
              <w:rPr>
                <w:rFonts w:hint="eastAsia"/>
                <w:sz w:val="20"/>
                <w:lang w:eastAsia="zh-CN"/>
              </w:rPr>
              <w:t>Page</w:t>
            </w:r>
            <w:r>
              <w:rPr>
                <w:sz w:val="20"/>
              </w:rPr>
              <w:t xml:space="preserve">1 </w:t>
            </w:r>
          </w:p>
        </w:tc>
        <w:tc>
          <w:tcPr>
            <w:tcW w:w="2835" w:type="dxa"/>
          </w:tcPr>
          <w:p w14:paraId="00C7B75A" w14:textId="1A3BEA54" w:rsidR="00191A23" w:rsidRPr="0022554A" w:rsidRDefault="006435FF" w:rsidP="0022554A">
            <w:pPr>
              <w:tabs>
                <w:tab w:val="left" w:pos="5400"/>
              </w:tabs>
              <w:rPr>
                <w:sz w:val="20"/>
              </w:rPr>
            </w:pPr>
            <w:r w:rsidRPr="006435FF">
              <w:rPr>
                <w:sz w:val="20"/>
              </w:rPr>
              <w:t>A retrospective cohort study evaluating the prognostic value of the Inflammatory Prognostic Index (IPI) in extensive-stage small cell lung cancer (ES-SCLC)</w:t>
            </w:r>
          </w:p>
        </w:tc>
      </w:tr>
      <w:tr w:rsidR="00191A23" w:rsidRPr="0022554A" w14:paraId="0C9833B4" w14:textId="77777777" w:rsidTr="00E341E9">
        <w:tc>
          <w:tcPr>
            <w:tcW w:w="1951" w:type="dxa"/>
            <w:vMerge/>
          </w:tcPr>
          <w:p w14:paraId="706C73F6"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0BA9A86F" w14:textId="77777777" w:rsidR="00191A23" w:rsidRPr="0022554A" w:rsidRDefault="00191A23" w:rsidP="0022554A">
            <w:pPr>
              <w:tabs>
                <w:tab w:val="left" w:pos="5400"/>
              </w:tabs>
              <w:jc w:val="center"/>
              <w:rPr>
                <w:sz w:val="20"/>
              </w:rPr>
            </w:pPr>
          </w:p>
        </w:tc>
        <w:tc>
          <w:tcPr>
            <w:tcW w:w="8031" w:type="dxa"/>
          </w:tcPr>
          <w:p w14:paraId="06AF502B"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0EA32AAF" w14:textId="55ABBCCF" w:rsidR="00191A23" w:rsidRPr="0022554A" w:rsidRDefault="00942A7F" w:rsidP="0022554A">
            <w:pPr>
              <w:tabs>
                <w:tab w:val="left" w:pos="5400"/>
              </w:tabs>
              <w:rPr>
                <w:sz w:val="20"/>
              </w:rPr>
            </w:pPr>
            <w:r>
              <w:rPr>
                <w:rFonts w:hint="eastAsia"/>
                <w:sz w:val="20"/>
                <w:lang w:eastAsia="zh-CN"/>
              </w:rPr>
              <w:t>Page</w:t>
            </w:r>
            <w:r>
              <w:rPr>
                <w:sz w:val="20"/>
              </w:rPr>
              <w:t xml:space="preserve">2 </w:t>
            </w:r>
          </w:p>
        </w:tc>
        <w:tc>
          <w:tcPr>
            <w:tcW w:w="2835" w:type="dxa"/>
          </w:tcPr>
          <w:p w14:paraId="24A943BB" w14:textId="1BF0A8DA" w:rsidR="00191A23" w:rsidRPr="0022554A" w:rsidRDefault="006435FF" w:rsidP="0022554A">
            <w:pPr>
              <w:tabs>
                <w:tab w:val="left" w:pos="5400"/>
              </w:tabs>
              <w:rPr>
                <w:sz w:val="20"/>
              </w:rPr>
            </w:pPr>
            <w:r w:rsidRPr="006435FF">
              <w:rPr>
                <w:sz w:val="20"/>
              </w:rPr>
              <w:t>The study retrospectively analyzed 94 ES-SCLC patients to evaluate the association between IPI score and overall survival (OS). High IPI scores were significantly associated with poorer OS. Multivariate Cox regression confirmed IPI as an independent prognostic factor.</w:t>
            </w:r>
          </w:p>
        </w:tc>
      </w:tr>
      <w:tr w:rsidR="00191A23" w:rsidRPr="0022554A" w14:paraId="65EA2527" w14:textId="77777777" w:rsidTr="00E341E9">
        <w:tc>
          <w:tcPr>
            <w:tcW w:w="12157" w:type="dxa"/>
            <w:gridSpan w:val="4"/>
          </w:tcPr>
          <w:p w14:paraId="460440E7"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2C3AC6D2" w14:textId="77777777" w:rsidR="00191A23" w:rsidRPr="0022554A" w:rsidRDefault="00191A23" w:rsidP="0022554A">
            <w:pPr>
              <w:pStyle w:val="TableSubHead"/>
              <w:tabs>
                <w:tab w:val="left" w:pos="5400"/>
              </w:tabs>
              <w:rPr>
                <w:sz w:val="20"/>
              </w:rPr>
            </w:pPr>
          </w:p>
        </w:tc>
      </w:tr>
      <w:tr w:rsidR="00191A23" w:rsidRPr="0022554A" w14:paraId="7BC4E403" w14:textId="77777777" w:rsidTr="00E341E9">
        <w:tc>
          <w:tcPr>
            <w:tcW w:w="1951" w:type="dxa"/>
          </w:tcPr>
          <w:p w14:paraId="62A03237"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36B35B25" w14:textId="77777777" w:rsidR="00191A23" w:rsidRPr="0022554A" w:rsidRDefault="00191A23" w:rsidP="0022554A">
            <w:pPr>
              <w:tabs>
                <w:tab w:val="left" w:pos="5400"/>
              </w:tabs>
              <w:jc w:val="center"/>
              <w:rPr>
                <w:sz w:val="20"/>
              </w:rPr>
            </w:pPr>
            <w:r w:rsidRPr="0022554A">
              <w:rPr>
                <w:sz w:val="20"/>
              </w:rPr>
              <w:t>2</w:t>
            </w:r>
          </w:p>
        </w:tc>
        <w:tc>
          <w:tcPr>
            <w:tcW w:w="8031" w:type="dxa"/>
          </w:tcPr>
          <w:p w14:paraId="19BC7B40"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6ED113CC" w14:textId="64B5F3C4" w:rsidR="00191A23" w:rsidRPr="0022554A" w:rsidRDefault="00BC2E5A" w:rsidP="0022554A">
            <w:pPr>
              <w:tabs>
                <w:tab w:val="left" w:pos="5400"/>
              </w:tabs>
              <w:rPr>
                <w:sz w:val="20"/>
              </w:rPr>
            </w:pPr>
            <w:r>
              <w:rPr>
                <w:rFonts w:hint="eastAsia"/>
                <w:sz w:val="20"/>
                <w:lang w:eastAsia="zh-CN"/>
              </w:rPr>
              <w:t>Page</w:t>
            </w:r>
            <w:r>
              <w:rPr>
                <w:sz w:val="20"/>
              </w:rPr>
              <w:t>2</w:t>
            </w:r>
            <w:r w:rsidR="006435FF">
              <w:rPr>
                <w:sz w:val="20"/>
              </w:rPr>
              <w:t>-3</w:t>
            </w:r>
            <w:r>
              <w:rPr>
                <w:sz w:val="20"/>
              </w:rPr>
              <w:t xml:space="preserve"> </w:t>
            </w:r>
          </w:p>
        </w:tc>
        <w:tc>
          <w:tcPr>
            <w:tcW w:w="2835" w:type="dxa"/>
          </w:tcPr>
          <w:p w14:paraId="4478B115" w14:textId="77777777" w:rsidR="006435FF" w:rsidRPr="006435FF" w:rsidRDefault="006435FF" w:rsidP="006435FF">
            <w:pPr>
              <w:tabs>
                <w:tab w:val="left" w:pos="5400"/>
              </w:tabs>
              <w:rPr>
                <w:sz w:val="20"/>
                <w:lang w:val="en-US"/>
              </w:rPr>
            </w:pPr>
            <w:r w:rsidRPr="006435FF">
              <w:rPr>
                <w:sz w:val="20"/>
                <w:lang w:val="en-US"/>
              </w:rPr>
              <w:t>While prognosis in ES-SCLC is poor, inflammatory markers have emerged as potential indicators of survival. IPI combines CRP, NLR, and albumin, and may offer a robust prognostic tool.</w:t>
            </w:r>
          </w:p>
          <w:p w14:paraId="65F1793C" w14:textId="51FBD073" w:rsidR="00191A23" w:rsidRPr="0022554A" w:rsidRDefault="00BC2E5A" w:rsidP="0022554A">
            <w:pPr>
              <w:tabs>
                <w:tab w:val="left" w:pos="5400"/>
              </w:tabs>
              <w:rPr>
                <w:sz w:val="20"/>
              </w:rPr>
            </w:pPr>
            <w:r w:rsidRPr="00BC2E5A">
              <w:rPr>
                <w:sz w:val="20"/>
              </w:rPr>
              <w:t>adequately identified in clinical practice.</w:t>
            </w:r>
          </w:p>
        </w:tc>
      </w:tr>
      <w:tr w:rsidR="00191A23" w:rsidRPr="0022554A" w14:paraId="6B8A5317" w14:textId="77777777" w:rsidTr="00E341E9">
        <w:tc>
          <w:tcPr>
            <w:tcW w:w="1951" w:type="dxa"/>
          </w:tcPr>
          <w:p w14:paraId="4B6C3289"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lastRenderedPageBreak/>
              <w:t>Objectives</w:t>
            </w:r>
          </w:p>
        </w:tc>
        <w:tc>
          <w:tcPr>
            <w:tcW w:w="616" w:type="dxa"/>
          </w:tcPr>
          <w:p w14:paraId="10DB9DE5" w14:textId="77777777" w:rsidR="00191A23" w:rsidRPr="0022554A" w:rsidRDefault="00191A23" w:rsidP="0022554A">
            <w:pPr>
              <w:tabs>
                <w:tab w:val="left" w:pos="5400"/>
              </w:tabs>
              <w:jc w:val="center"/>
              <w:rPr>
                <w:sz w:val="20"/>
              </w:rPr>
            </w:pPr>
            <w:r w:rsidRPr="0022554A">
              <w:rPr>
                <w:sz w:val="20"/>
              </w:rPr>
              <w:t>3</w:t>
            </w:r>
          </w:p>
        </w:tc>
        <w:tc>
          <w:tcPr>
            <w:tcW w:w="8031" w:type="dxa"/>
          </w:tcPr>
          <w:p w14:paraId="544511CA"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78C843AD" w14:textId="4F140C4C" w:rsidR="00191A23" w:rsidRPr="0022554A" w:rsidRDefault="009222BB" w:rsidP="0022554A">
            <w:pPr>
              <w:tabs>
                <w:tab w:val="left" w:pos="5400"/>
              </w:tabs>
              <w:rPr>
                <w:sz w:val="20"/>
                <w:lang w:eastAsia="zh-CN"/>
              </w:rPr>
            </w:pPr>
            <w:r>
              <w:rPr>
                <w:rFonts w:hint="eastAsia"/>
                <w:sz w:val="20"/>
                <w:lang w:eastAsia="zh-CN"/>
              </w:rPr>
              <w:t>P</w:t>
            </w:r>
            <w:r>
              <w:rPr>
                <w:sz w:val="20"/>
                <w:lang w:eastAsia="zh-CN"/>
              </w:rPr>
              <w:t xml:space="preserve">age3 </w:t>
            </w:r>
          </w:p>
        </w:tc>
        <w:tc>
          <w:tcPr>
            <w:tcW w:w="2835" w:type="dxa"/>
          </w:tcPr>
          <w:p w14:paraId="35D9471F" w14:textId="22F97D32" w:rsidR="00191A23" w:rsidRPr="006435FF" w:rsidRDefault="006435FF" w:rsidP="0022554A">
            <w:pPr>
              <w:tabs>
                <w:tab w:val="left" w:pos="5400"/>
              </w:tabs>
              <w:rPr>
                <w:sz w:val="20"/>
                <w:lang w:val="en-US"/>
              </w:rPr>
            </w:pPr>
            <w:r w:rsidRPr="006435FF">
              <w:rPr>
                <w:sz w:val="20"/>
                <w:lang w:val="en-US"/>
              </w:rPr>
              <w:t>To evaluate the prognostic significance of IPI in patients with ES-SCLC and determine its relationship with overall survival.</w:t>
            </w:r>
          </w:p>
        </w:tc>
      </w:tr>
      <w:tr w:rsidR="00191A23" w:rsidRPr="0022554A" w14:paraId="50FE562E" w14:textId="77777777" w:rsidTr="00E341E9">
        <w:tc>
          <w:tcPr>
            <w:tcW w:w="12157" w:type="dxa"/>
            <w:gridSpan w:val="4"/>
          </w:tcPr>
          <w:p w14:paraId="34A28999"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5A859051" w14:textId="77777777" w:rsidR="00191A23" w:rsidRPr="0022554A" w:rsidRDefault="00191A23" w:rsidP="0022554A">
            <w:pPr>
              <w:pStyle w:val="TableSubHead"/>
              <w:tabs>
                <w:tab w:val="left" w:pos="5400"/>
              </w:tabs>
              <w:rPr>
                <w:sz w:val="20"/>
              </w:rPr>
            </w:pPr>
          </w:p>
        </w:tc>
      </w:tr>
      <w:tr w:rsidR="00191A23" w:rsidRPr="0022554A" w14:paraId="3E6EE602" w14:textId="77777777" w:rsidTr="00E341E9">
        <w:tc>
          <w:tcPr>
            <w:tcW w:w="1951" w:type="dxa"/>
          </w:tcPr>
          <w:p w14:paraId="483D0BFC"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6901A440" w14:textId="77777777" w:rsidR="00191A23" w:rsidRPr="0022554A" w:rsidRDefault="00191A23" w:rsidP="0022554A">
            <w:pPr>
              <w:tabs>
                <w:tab w:val="left" w:pos="5400"/>
              </w:tabs>
              <w:jc w:val="center"/>
              <w:rPr>
                <w:sz w:val="20"/>
              </w:rPr>
            </w:pPr>
            <w:r w:rsidRPr="0022554A">
              <w:rPr>
                <w:sz w:val="20"/>
              </w:rPr>
              <w:t>4</w:t>
            </w:r>
          </w:p>
        </w:tc>
        <w:tc>
          <w:tcPr>
            <w:tcW w:w="8031" w:type="dxa"/>
          </w:tcPr>
          <w:p w14:paraId="7F07260E"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504BDC20" w14:textId="5D36D0F5" w:rsidR="00191A23" w:rsidRPr="0022554A" w:rsidRDefault="009222BB" w:rsidP="0022554A">
            <w:pPr>
              <w:tabs>
                <w:tab w:val="left" w:pos="5400"/>
              </w:tabs>
              <w:rPr>
                <w:sz w:val="20"/>
              </w:rPr>
            </w:pPr>
            <w:r>
              <w:rPr>
                <w:rFonts w:hint="eastAsia"/>
                <w:sz w:val="20"/>
                <w:lang w:eastAsia="zh-CN"/>
              </w:rPr>
              <w:t>Page</w:t>
            </w:r>
            <w:r>
              <w:rPr>
                <w:sz w:val="20"/>
              </w:rPr>
              <w:t xml:space="preserve"> 3</w:t>
            </w:r>
            <w:r w:rsidR="006435FF">
              <w:rPr>
                <w:sz w:val="20"/>
              </w:rPr>
              <w:t>-4</w:t>
            </w:r>
            <w:r>
              <w:rPr>
                <w:sz w:val="20"/>
              </w:rPr>
              <w:t xml:space="preserve"> </w:t>
            </w:r>
          </w:p>
        </w:tc>
        <w:tc>
          <w:tcPr>
            <w:tcW w:w="2835" w:type="dxa"/>
          </w:tcPr>
          <w:p w14:paraId="094886FA" w14:textId="4CF35839" w:rsidR="00191A23" w:rsidRPr="0022554A" w:rsidRDefault="006435FF" w:rsidP="0022554A">
            <w:pPr>
              <w:tabs>
                <w:tab w:val="left" w:pos="5400"/>
              </w:tabs>
              <w:rPr>
                <w:sz w:val="20"/>
              </w:rPr>
            </w:pPr>
            <w:r w:rsidRPr="006435FF">
              <w:rPr>
                <w:sz w:val="20"/>
              </w:rPr>
              <w:t>Retrospective cohort study conducted at Celal Bayar University Hospital between Jan 2012–Nov 2024.</w:t>
            </w:r>
          </w:p>
        </w:tc>
      </w:tr>
      <w:tr w:rsidR="00191A23" w:rsidRPr="0022554A" w14:paraId="3FB543EF" w14:textId="77777777" w:rsidTr="00E341E9">
        <w:tc>
          <w:tcPr>
            <w:tcW w:w="1951" w:type="dxa"/>
          </w:tcPr>
          <w:p w14:paraId="3F7AB59D"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61962E89" w14:textId="77777777" w:rsidR="00191A23" w:rsidRPr="0022554A" w:rsidRDefault="00191A23" w:rsidP="0022554A">
            <w:pPr>
              <w:tabs>
                <w:tab w:val="left" w:pos="5400"/>
              </w:tabs>
              <w:jc w:val="center"/>
              <w:rPr>
                <w:sz w:val="20"/>
              </w:rPr>
            </w:pPr>
            <w:r w:rsidRPr="0022554A">
              <w:rPr>
                <w:sz w:val="20"/>
              </w:rPr>
              <w:t>5</w:t>
            </w:r>
          </w:p>
        </w:tc>
        <w:tc>
          <w:tcPr>
            <w:tcW w:w="8031" w:type="dxa"/>
          </w:tcPr>
          <w:p w14:paraId="59842A31"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3E536D45" w14:textId="2FD44862" w:rsidR="00191A23" w:rsidRPr="0022554A" w:rsidRDefault="009222BB" w:rsidP="0022554A">
            <w:pPr>
              <w:tabs>
                <w:tab w:val="left" w:pos="5400"/>
              </w:tabs>
              <w:rPr>
                <w:sz w:val="20"/>
              </w:rPr>
            </w:pPr>
            <w:r>
              <w:rPr>
                <w:rFonts w:hint="eastAsia"/>
                <w:sz w:val="20"/>
                <w:lang w:eastAsia="zh-CN"/>
              </w:rPr>
              <w:t>Page</w:t>
            </w:r>
            <w:r>
              <w:rPr>
                <w:sz w:val="20"/>
              </w:rPr>
              <w:t xml:space="preserve"> </w:t>
            </w:r>
            <w:r w:rsidR="006435FF">
              <w:rPr>
                <w:sz w:val="20"/>
              </w:rPr>
              <w:t>4</w:t>
            </w:r>
          </w:p>
        </w:tc>
        <w:tc>
          <w:tcPr>
            <w:tcW w:w="2835" w:type="dxa"/>
          </w:tcPr>
          <w:p w14:paraId="2193D73F" w14:textId="22140537" w:rsidR="00191A23" w:rsidRPr="0022554A" w:rsidRDefault="006435FF" w:rsidP="0022554A">
            <w:pPr>
              <w:tabs>
                <w:tab w:val="left" w:pos="5400"/>
              </w:tabs>
              <w:rPr>
                <w:sz w:val="20"/>
              </w:rPr>
            </w:pPr>
            <w:r w:rsidRPr="006435FF">
              <w:rPr>
                <w:sz w:val="20"/>
              </w:rPr>
              <w:t>Data collected from patient records, including baseline labs and follow-up outcomes. Patients treated with chemotherapy and/or immunotherapy.</w:t>
            </w:r>
          </w:p>
        </w:tc>
      </w:tr>
      <w:bookmarkEnd w:id="25"/>
      <w:bookmarkEnd w:id="26"/>
      <w:tr w:rsidR="00191A23" w:rsidRPr="0022554A" w14:paraId="733C4178" w14:textId="77777777" w:rsidTr="00E341E9">
        <w:tc>
          <w:tcPr>
            <w:tcW w:w="1951" w:type="dxa"/>
            <w:vMerge w:val="restart"/>
          </w:tcPr>
          <w:p w14:paraId="27FBFC92"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0915313A" w14:textId="77777777" w:rsidR="00191A23" w:rsidRPr="0022554A" w:rsidRDefault="00191A23" w:rsidP="0022554A">
            <w:pPr>
              <w:tabs>
                <w:tab w:val="left" w:pos="5400"/>
              </w:tabs>
              <w:jc w:val="center"/>
              <w:rPr>
                <w:sz w:val="20"/>
              </w:rPr>
            </w:pPr>
            <w:r w:rsidRPr="0022554A">
              <w:rPr>
                <w:sz w:val="20"/>
              </w:rPr>
              <w:t>6</w:t>
            </w:r>
          </w:p>
        </w:tc>
        <w:tc>
          <w:tcPr>
            <w:tcW w:w="8031" w:type="dxa"/>
          </w:tcPr>
          <w:p w14:paraId="0D0E3CCA"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763EC621"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6143DB65"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034491D4" w14:textId="4FA98C4D" w:rsidR="00191A23" w:rsidRPr="0022554A" w:rsidRDefault="00F465AB" w:rsidP="0022554A">
            <w:pPr>
              <w:tabs>
                <w:tab w:val="left" w:pos="5400"/>
              </w:tabs>
              <w:rPr>
                <w:sz w:val="20"/>
                <w:lang w:eastAsia="zh-CN"/>
              </w:rPr>
            </w:pPr>
            <w:r>
              <w:rPr>
                <w:rFonts w:hint="eastAsia"/>
                <w:sz w:val="20"/>
                <w:lang w:eastAsia="zh-CN"/>
              </w:rPr>
              <w:t>P</w:t>
            </w:r>
            <w:r>
              <w:rPr>
                <w:sz w:val="20"/>
                <w:lang w:eastAsia="zh-CN"/>
              </w:rPr>
              <w:t xml:space="preserve">age3 </w:t>
            </w:r>
          </w:p>
        </w:tc>
        <w:tc>
          <w:tcPr>
            <w:tcW w:w="2835" w:type="dxa"/>
          </w:tcPr>
          <w:p w14:paraId="251F18C6" w14:textId="77777777" w:rsidR="006435FF" w:rsidRPr="006435FF" w:rsidRDefault="006435FF" w:rsidP="006435FF">
            <w:pPr>
              <w:tabs>
                <w:tab w:val="left" w:pos="5400"/>
              </w:tabs>
              <w:rPr>
                <w:rFonts w:hint="eastAsia"/>
                <w:sz w:val="20"/>
              </w:rPr>
            </w:pPr>
            <w:r w:rsidRPr="006435FF">
              <w:rPr>
                <w:rFonts w:hint="eastAsia"/>
                <w:sz w:val="20"/>
              </w:rPr>
              <w:t xml:space="preserve">Inclusion: Adults </w:t>
            </w:r>
            <w:r w:rsidRPr="006435FF">
              <w:rPr>
                <w:rFonts w:hint="eastAsia"/>
                <w:sz w:val="20"/>
              </w:rPr>
              <w:t>≥</w:t>
            </w:r>
            <w:r w:rsidRPr="006435FF">
              <w:rPr>
                <w:rFonts w:hint="eastAsia"/>
                <w:sz w:val="20"/>
              </w:rPr>
              <w:t>18 years, confirmed ES-SCLC, complete clinical/lab data.</w:t>
            </w:r>
          </w:p>
          <w:p w14:paraId="35061EF9" w14:textId="77777777" w:rsidR="006435FF" w:rsidRPr="006435FF" w:rsidRDefault="006435FF" w:rsidP="006435FF">
            <w:pPr>
              <w:tabs>
                <w:tab w:val="left" w:pos="5400"/>
              </w:tabs>
              <w:rPr>
                <w:sz w:val="20"/>
              </w:rPr>
            </w:pPr>
          </w:p>
          <w:p w14:paraId="46DF1564" w14:textId="77777777" w:rsidR="006435FF" w:rsidRPr="006435FF" w:rsidRDefault="006435FF" w:rsidP="006435FF">
            <w:pPr>
              <w:tabs>
                <w:tab w:val="left" w:pos="5400"/>
              </w:tabs>
              <w:rPr>
                <w:sz w:val="20"/>
              </w:rPr>
            </w:pPr>
            <w:r w:rsidRPr="006435FF">
              <w:rPr>
                <w:sz w:val="20"/>
              </w:rPr>
              <w:t>Exclusion: Secondary malignancy, autoimmune/inflammatory disease, hematologic conditions, infections.</w:t>
            </w:r>
          </w:p>
          <w:p w14:paraId="77447C7C" w14:textId="77777777" w:rsidR="006435FF" w:rsidRPr="006435FF" w:rsidRDefault="006435FF" w:rsidP="006435FF">
            <w:pPr>
              <w:tabs>
                <w:tab w:val="left" w:pos="5400"/>
              </w:tabs>
              <w:rPr>
                <w:sz w:val="20"/>
              </w:rPr>
            </w:pPr>
          </w:p>
          <w:p w14:paraId="789B2736" w14:textId="1968951D" w:rsidR="00191A23" w:rsidRPr="0022554A" w:rsidRDefault="006435FF" w:rsidP="006435FF">
            <w:pPr>
              <w:tabs>
                <w:tab w:val="left" w:pos="5400"/>
              </w:tabs>
              <w:rPr>
                <w:sz w:val="20"/>
              </w:rPr>
            </w:pPr>
            <w:r w:rsidRPr="006435FF">
              <w:rPr>
                <w:sz w:val="20"/>
              </w:rPr>
              <w:t>Final sample: 94 patients.</w:t>
            </w:r>
          </w:p>
        </w:tc>
      </w:tr>
      <w:tr w:rsidR="00191A23" w:rsidRPr="0022554A" w14:paraId="0CAF0058" w14:textId="77777777" w:rsidTr="00E341E9">
        <w:tc>
          <w:tcPr>
            <w:tcW w:w="1951" w:type="dxa"/>
            <w:vMerge/>
          </w:tcPr>
          <w:p w14:paraId="69A89D4A"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04A7141A" w14:textId="77777777" w:rsidR="00191A23" w:rsidRPr="0022554A" w:rsidRDefault="00191A23" w:rsidP="0022554A">
            <w:pPr>
              <w:tabs>
                <w:tab w:val="left" w:pos="5400"/>
              </w:tabs>
              <w:jc w:val="center"/>
              <w:rPr>
                <w:sz w:val="20"/>
              </w:rPr>
            </w:pPr>
          </w:p>
        </w:tc>
        <w:tc>
          <w:tcPr>
            <w:tcW w:w="8031" w:type="dxa"/>
          </w:tcPr>
          <w:p w14:paraId="18BAD25C"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5224CDA4"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68F1EB96" w14:textId="21C05305" w:rsidR="00191A23" w:rsidRPr="0022554A" w:rsidRDefault="00191A23" w:rsidP="0022554A">
            <w:pPr>
              <w:tabs>
                <w:tab w:val="left" w:pos="5400"/>
              </w:tabs>
              <w:rPr>
                <w:sz w:val="20"/>
              </w:rPr>
            </w:pPr>
          </w:p>
        </w:tc>
        <w:tc>
          <w:tcPr>
            <w:tcW w:w="2835" w:type="dxa"/>
          </w:tcPr>
          <w:p w14:paraId="23E7BF9F" w14:textId="13899FB3" w:rsidR="00191A23" w:rsidRPr="0022554A" w:rsidRDefault="00191A23" w:rsidP="0022554A">
            <w:pPr>
              <w:tabs>
                <w:tab w:val="left" w:pos="5400"/>
              </w:tabs>
              <w:rPr>
                <w:sz w:val="20"/>
              </w:rPr>
            </w:pPr>
          </w:p>
        </w:tc>
      </w:tr>
      <w:tr w:rsidR="00191A23" w:rsidRPr="0022554A" w14:paraId="181D2F88" w14:textId="77777777" w:rsidTr="00E341E9">
        <w:tc>
          <w:tcPr>
            <w:tcW w:w="1951" w:type="dxa"/>
          </w:tcPr>
          <w:p w14:paraId="30ACF1AF"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lastRenderedPageBreak/>
              <w:t>Variables</w:t>
            </w:r>
          </w:p>
        </w:tc>
        <w:tc>
          <w:tcPr>
            <w:tcW w:w="616" w:type="dxa"/>
          </w:tcPr>
          <w:p w14:paraId="75C08583" w14:textId="77777777" w:rsidR="00191A23" w:rsidRPr="0022554A" w:rsidRDefault="00191A23" w:rsidP="0022554A">
            <w:pPr>
              <w:tabs>
                <w:tab w:val="left" w:pos="5400"/>
              </w:tabs>
              <w:jc w:val="center"/>
              <w:rPr>
                <w:sz w:val="20"/>
              </w:rPr>
            </w:pPr>
            <w:r w:rsidRPr="0022554A">
              <w:rPr>
                <w:sz w:val="20"/>
              </w:rPr>
              <w:t>7</w:t>
            </w:r>
          </w:p>
        </w:tc>
        <w:tc>
          <w:tcPr>
            <w:tcW w:w="8031" w:type="dxa"/>
          </w:tcPr>
          <w:p w14:paraId="75CEE29B"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1CD8436E" w14:textId="762A7628" w:rsidR="00191A23" w:rsidRPr="0022554A" w:rsidRDefault="00845DB4" w:rsidP="0022554A">
            <w:pPr>
              <w:tabs>
                <w:tab w:val="left" w:pos="5400"/>
              </w:tabs>
              <w:rPr>
                <w:sz w:val="20"/>
              </w:rPr>
            </w:pPr>
            <w:r>
              <w:rPr>
                <w:rFonts w:hint="eastAsia"/>
                <w:sz w:val="20"/>
                <w:lang w:eastAsia="zh-CN"/>
              </w:rPr>
              <w:t>Page</w:t>
            </w:r>
            <w:r>
              <w:rPr>
                <w:sz w:val="20"/>
              </w:rPr>
              <w:t xml:space="preserve"> </w:t>
            </w:r>
            <w:r w:rsidR="008F1CDA">
              <w:rPr>
                <w:sz w:val="20"/>
              </w:rPr>
              <w:t>4-5</w:t>
            </w:r>
            <w:r>
              <w:rPr>
                <w:sz w:val="20"/>
              </w:rPr>
              <w:t xml:space="preserve"> </w:t>
            </w:r>
          </w:p>
        </w:tc>
        <w:tc>
          <w:tcPr>
            <w:tcW w:w="2835" w:type="dxa"/>
          </w:tcPr>
          <w:p w14:paraId="578D85B5" w14:textId="77777777" w:rsidR="006435FF" w:rsidRPr="006435FF" w:rsidRDefault="006435FF" w:rsidP="006435FF">
            <w:pPr>
              <w:tabs>
                <w:tab w:val="left" w:pos="5400"/>
              </w:tabs>
              <w:rPr>
                <w:sz w:val="20"/>
              </w:rPr>
            </w:pPr>
            <w:r w:rsidRPr="006435FF">
              <w:rPr>
                <w:sz w:val="20"/>
              </w:rPr>
              <w:t>Exposure: IPI = (CRP × NLR) / Albumin</w:t>
            </w:r>
          </w:p>
          <w:p w14:paraId="6B4F6677" w14:textId="77777777" w:rsidR="006435FF" w:rsidRPr="006435FF" w:rsidRDefault="006435FF" w:rsidP="006435FF">
            <w:pPr>
              <w:tabs>
                <w:tab w:val="left" w:pos="5400"/>
              </w:tabs>
              <w:rPr>
                <w:sz w:val="20"/>
              </w:rPr>
            </w:pPr>
          </w:p>
          <w:p w14:paraId="601ACAC8" w14:textId="77777777" w:rsidR="006435FF" w:rsidRPr="006435FF" w:rsidRDefault="006435FF" w:rsidP="006435FF">
            <w:pPr>
              <w:tabs>
                <w:tab w:val="left" w:pos="5400"/>
              </w:tabs>
              <w:rPr>
                <w:sz w:val="20"/>
              </w:rPr>
            </w:pPr>
            <w:r w:rsidRPr="006435FF">
              <w:rPr>
                <w:sz w:val="20"/>
              </w:rPr>
              <w:t>Outcome: Overall survival (OS)</w:t>
            </w:r>
          </w:p>
          <w:p w14:paraId="7EE235B1" w14:textId="77777777" w:rsidR="006435FF" w:rsidRPr="006435FF" w:rsidRDefault="006435FF" w:rsidP="006435FF">
            <w:pPr>
              <w:tabs>
                <w:tab w:val="left" w:pos="5400"/>
              </w:tabs>
              <w:rPr>
                <w:sz w:val="20"/>
              </w:rPr>
            </w:pPr>
          </w:p>
          <w:p w14:paraId="2F9F94D3" w14:textId="4732BBBD" w:rsidR="00191A23" w:rsidRPr="0022554A" w:rsidRDefault="006435FF" w:rsidP="006435FF">
            <w:pPr>
              <w:tabs>
                <w:tab w:val="left" w:pos="5400"/>
              </w:tabs>
              <w:rPr>
                <w:sz w:val="20"/>
              </w:rPr>
            </w:pPr>
            <w:r w:rsidRPr="006435FF">
              <w:rPr>
                <w:sz w:val="20"/>
              </w:rPr>
              <w:t>Confounders: Age, sex, ECOG-PS, BMI, metastases, comorbidities</w:t>
            </w:r>
          </w:p>
        </w:tc>
      </w:tr>
      <w:tr w:rsidR="00191A23" w:rsidRPr="0022554A" w14:paraId="5E8ADFB8" w14:textId="77777777" w:rsidTr="00E341E9">
        <w:trPr>
          <w:trHeight w:val="294"/>
        </w:trPr>
        <w:tc>
          <w:tcPr>
            <w:tcW w:w="1951" w:type="dxa"/>
          </w:tcPr>
          <w:p w14:paraId="32B535D2"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6CDE82B7"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2F49A6FC"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3797D8CE" w14:textId="5497BAF1" w:rsidR="00191A23" w:rsidRPr="00B0503D" w:rsidRDefault="00B0503D" w:rsidP="0022554A">
            <w:pPr>
              <w:tabs>
                <w:tab w:val="left" w:pos="5400"/>
              </w:tabs>
              <w:rPr>
                <w:iCs/>
                <w:sz w:val="20"/>
                <w:lang w:eastAsia="zh-CN"/>
              </w:rPr>
            </w:pPr>
            <w:r>
              <w:rPr>
                <w:rFonts w:hint="eastAsia"/>
                <w:iCs/>
                <w:sz w:val="20"/>
                <w:lang w:eastAsia="zh-CN"/>
              </w:rPr>
              <w:t>Page</w:t>
            </w:r>
            <w:r>
              <w:rPr>
                <w:iCs/>
                <w:sz w:val="20"/>
                <w:lang w:eastAsia="zh-CN"/>
              </w:rPr>
              <w:t xml:space="preserve"> </w:t>
            </w:r>
            <w:r w:rsidR="008F1CDA">
              <w:rPr>
                <w:iCs/>
                <w:sz w:val="20"/>
              </w:rPr>
              <w:t>4</w:t>
            </w:r>
            <w:r>
              <w:rPr>
                <w:iCs/>
                <w:sz w:val="20"/>
              </w:rPr>
              <w:t>-</w:t>
            </w:r>
            <w:r w:rsidR="008F1CDA">
              <w:rPr>
                <w:iCs/>
                <w:sz w:val="20"/>
              </w:rPr>
              <w:t>5</w:t>
            </w:r>
            <w:r>
              <w:rPr>
                <w:iCs/>
                <w:sz w:val="20"/>
              </w:rPr>
              <w:t xml:space="preserve"> </w:t>
            </w:r>
          </w:p>
        </w:tc>
        <w:tc>
          <w:tcPr>
            <w:tcW w:w="2835" w:type="dxa"/>
          </w:tcPr>
          <w:p w14:paraId="5D610774" w14:textId="77777777" w:rsidR="008F1CDA" w:rsidRPr="008F1CDA" w:rsidRDefault="008F1CDA" w:rsidP="008F1CDA">
            <w:pPr>
              <w:tabs>
                <w:tab w:val="left" w:pos="5400"/>
              </w:tabs>
              <w:rPr>
                <w:iCs/>
                <w:sz w:val="20"/>
              </w:rPr>
            </w:pPr>
            <w:r w:rsidRPr="008F1CDA">
              <w:rPr>
                <w:iCs/>
                <w:sz w:val="20"/>
              </w:rPr>
              <w:t>Labs obtained within 1 week before diagnosis.</w:t>
            </w:r>
          </w:p>
          <w:p w14:paraId="6E67E446" w14:textId="77777777" w:rsidR="008F1CDA" w:rsidRPr="008F1CDA" w:rsidRDefault="008F1CDA" w:rsidP="008F1CDA">
            <w:pPr>
              <w:tabs>
                <w:tab w:val="left" w:pos="5400"/>
              </w:tabs>
              <w:rPr>
                <w:iCs/>
                <w:sz w:val="20"/>
              </w:rPr>
            </w:pPr>
          </w:p>
          <w:p w14:paraId="576526B5" w14:textId="22AD4A4B" w:rsidR="00191A23" w:rsidRPr="00B0503D" w:rsidRDefault="008F1CDA" w:rsidP="008F1CDA">
            <w:pPr>
              <w:tabs>
                <w:tab w:val="left" w:pos="5400"/>
              </w:tabs>
              <w:rPr>
                <w:iCs/>
                <w:sz w:val="20"/>
              </w:rPr>
            </w:pPr>
            <w:r w:rsidRPr="008F1CDA">
              <w:rPr>
                <w:iCs/>
                <w:sz w:val="20"/>
              </w:rPr>
              <w:t>Statistical analysis via SPSS 15.0; ROC used to define IPI cutoff (1.25).</w:t>
            </w:r>
          </w:p>
        </w:tc>
      </w:tr>
      <w:tr w:rsidR="00191A23" w:rsidRPr="0022554A" w14:paraId="4B9DB7D3" w14:textId="77777777" w:rsidTr="00E341E9">
        <w:tc>
          <w:tcPr>
            <w:tcW w:w="1951" w:type="dxa"/>
          </w:tcPr>
          <w:p w14:paraId="10B57A40"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1D1FAC03" w14:textId="77777777" w:rsidR="00191A23" w:rsidRPr="0022554A" w:rsidRDefault="00191A23" w:rsidP="0022554A">
            <w:pPr>
              <w:tabs>
                <w:tab w:val="left" w:pos="5400"/>
              </w:tabs>
              <w:jc w:val="center"/>
              <w:rPr>
                <w:sz w:val="20"/>
              </w:rPr>
            </w:pPr>
            <w:r w:rsidRPr="0022554A">
              <w:rPr>
                <w:sz w:val="20"/>
              </w:rPr>
              <w:t>9</w:t>
            </w:r>
          </w:p>
        </w:tc>
        <w:tc>
          <w:tcPr>
            <w:tcW w:w="8031" w:type="dxa"/>
          </w:tcPr>
          <w:p w14:paraId="6316C2DC"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7B3E4E9B" w14:textId="7A6D819D" w:rsidR="00191A23" w:rsidRPr="0022554A" w:rsidRDefault="00864536" w:rsidP="0022554A">
            <w:pPr>
              <w:tabs>
                <w:tab w:val="left" w:pos="5400"/>
              </w:tabs>
              <w:rPr>
                <w:color w:val="000000"/>
                <w:sz w:val="20"/>
                <w:lang w:eastAsia="zh-CN"/>
              </w:rPr>
            </w:pPr>
            <w:r>
              <w:rPr>
                <w:rFonts w:hint="eastAsia"/>
                <w:color w:val="000000"/>
                <w:sz w:val="20"/>
                <w:lang w:eastAsia="zh-CN"/>
              </w:rPr>
              <w:t>P</w:t>
            </w:r>
            <w:r>
              <w:rPr>
                <w:color w:val="000000"/>
                <w:sz w:val="20"/>
                <w:lang w:eastAsia="zh-CN"/>
              </w:rPr>
              <w:t>age 4</w:t>
            </w:r>
            <w:r w:rsidR="008F1CDA">
              <w:rPr>
                <w:color w:val="000000"/>
                <w:sz w:val="20"/>
                <w:lang w:eastAsia="zh-CN"/>
              </w:rPr>
              <w:t>-5</w:t>
            </w:r>
          </w:p>
        </w:tc>
        <w:tc>
          <w:tcPr>
            <w:tcW w:w="2835" w:type="dxa"/>
          </w:tcPr>
          <w:p w14:paraId="205A8499" w14:textId="57C4FFEB" w:rsidR="00191A23" w:rsidRPr="008F1CDA" w:rsidRDefault="008F1CDA" w:rsidP="0022554A">
            <w:pPr>
              <w:tabs>
                <w:tab w:val="left" w:pos="5400"/>
              </w:tabs>
              <w:rPr>
                <w:color w:val="000000"/>
                <w:sz w:val="20"/>
                <w:lang w:val="en-US"/>
              </w:rPr>
            </w:pPr>
            <w:r w:rsidRPr="008F1CDA">
              <w:rPr>
                <w:color w:val="000000"/>
                <w:sz w:val="20"/>
                <w:lang w:val="en-US"/>
              </w:rPr>
              <w:t>Exclusion criteria controlled for confounders. Multivariate analysis adjusted for clinical variables.</w:t>
            </w:r>
          </w:p>
        </w:tc>
      </w:tr>
      <w:tr w:rsidR="00191A23" w:rsidRPr="0022554A" w14:paraId="034FA859" w14:textId="77777777" w:rsidTr="00E341E9">
        <w:tc>
          <w:tcPr>
            <w:tcW w:w="1951" w:type="dxa"/>
          </w:tcPr>
          <w:p w14:paraId="7CA1F61C"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6C6B95EB" w14:textId="77777777" w:rsidR="00191A23" w:rsidRPr="0022554A" w:rsidRDefault="00191A23" w:rsidP="0022554A">
            <w:pPr>
              <w:tabs>
                <w:tab w:val="left" w:pos="5400"/>
              </w:tabs>
              <w:jc w:val="center"/>
              <w:rPr>
                <w:sz w:val="20"/>
              </w:rPr>
            </w:pPr>
            <w:r w:rsidRPr="0022554A">
              <w:rPr>
                <w:sz w:val="20"/>
              </w:rPr>
              <w:t>10</w:t>
            </w:r>
          </w:p>
        </w:tc>
        <w:tc>
          <w:tcPr>
            <w:tcW w:w="8031" w:type="dxa"/>
          </w:tcPr>
          <w:p w14:paraId="76633B0C"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57DD441A" w14:textId="2B521A15" w:rsidR="00191A23" w:rsidRPr="0022554A" w:rsidRDefault="008F1CDA" w:rsidP="0022554A">
            <w:pPr>
              <w:tabs>
                <w:tab w:val="left" w:pos="5400"/>
              </w:tabs>
              <w:rPr>
                <w:sz w:val="20"/>
              </w:rPr>
            </w:pPr>
            <w:r>
              <w:rPr>
                <w:sz w:val="20"/>
              </w:rPr>
              <w:t>Page 4</w:t>
            </w:r>
          </w:p>
        </w:tc>
        <w:tc>
          <w:tcPr>
            <w:tcW w:w="2835" w:type="dxa"/>
          </w:tcPr>
          <w:p w14:paraId="5E8A8651" w14:textId="5FE58751" w:rsidR="00191A23" w:rsidRPr="008F1CDA" w:rsidRDefault="008F1CDA" w:rsidP="0022554A">
            <w:pPr>
              <w:tabs>
                <w:tab w:val="left" w:pos="5400"/>
              </w:tabs>
              <w:rPr>
                <w:sz w:val="20"/>
                <w:lang w:val="en-US"/>
              </w:rPr>
            </w:pPr>
            <w:r w:rsidRPr="008F1CDA">
              <w:rPr>
                <w:sz w:val="20"/>
                <w:lang w:val="en-US"/>
              </w:rPr>
              <w:t>122 initially reviewed; 28 excluded; 94 analyzed.</w:t>
            </w:r>
          </w:p>
        </w:tc>
      </w:tr>
    </w:tbl>
    <w:p w14:paraId="21FA066C"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2D188E28" w14:textId="77777777" w:rsidTr="00517788">
        <w:tc>
          <w:tcPr>
            <w:tcW w:w="1521" w:type="dxa"/>
          </w:tcPr>
          <w:p w14:paraId="0FD51789" w14:textId="77777777" w:rsidR="00191A23" w:rsidRPr="0022554A" w:rsidRDefault="00191A23" w:rsidP="00191A23">
            <w:pPr>
              <w:tabs>
                <w:tab w:val="left" w:pos="5400"/>
              </w:tabs>
              <w:rPr>
                <w:bCs/>
                <w:sz w:val="20"/>
              </w:rPr>
            </w:pPr>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7CF49305" w14:textId="77777777" w:rsidR="00191A23" w:rsidRPr="0022554A" w:rsidRDefault="00191A23" w:rsidP="00191A23">
            <w:pPr>
              <w:tabs>
                <w:tab w:val="left" w:pos="5400"/>
              </w:tabs>
              <w:jc w:val="center"/>
              <w:rPr>
                <w:sz w:val="20"/>
              </w:rPr>
            </w:pPr>
            <w:r w:rsidRPr="0022554A">
              <w:rPr>
                <w:sz w:val="20"/>
              </w:rPr>
              <w:t>11</w:t>
            </w:r>
          </w:p>
        </w:tc>
        <w:tc>
          <w:tcPr>
            <w:tcW w:w="8328" w:type="dxa"/>
          </w:tcPr>
          <w:p w14:paraId="4DB9261E"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52F83E1D" w14:textId="56E7C8ED" w:rsidR="00191A23" w:rsidRPr="0022554A" w:rsidRDefault="00FF661D" w:rsidP="00191A23">
            <w:pPr>
              <w:tabs>
                <w:tab w:val="left" w:pos="5400"/>
              </w:tabs>
              <w:rPr>
                <w:sz w:val="20"/>
                <w:lang w:eastAsia="zh-CN"/>
              </w:rPr>
            </w:pPr>
            <w:r>
              <w:rPr>
                <w:rFonts w:hint="eastAsia"/>
                <w:sz w:val="20"/>
                <w:lang w:eastAsia="zh-CN"/>
              </w:rPr>
              <w:t>P</w:t>
            </w:r>
            <w:r>
              <w:rPr>
                <w:sz w:val="20"/>
                <w:lang w:eastAsia="zh-CN"/>
              </w:rPr>
              <w:t xml:space="preserve">age </w:t>
            </w:r>
            <w:r w:rsidR="008F1CDA">
              <w:rPr>
                <w:sz w:val="20"/>
                <w:lang w:eastAsia="zh-CN"/>
              </w:rPr>
              <w:t>5</w:t>
            </w:r>
            <w:r>
              <w:rPr>
                <w:sz w:val="20"/>
                <w:lang w:eastAsia="zh-CN"/>
              </w:rPr>
              <w:t xml:space="preserve"> </w:t>
            </w:r>
          </w:p>
        </w:tc>
        <w:tc>
          <w:tcPr>
            <w:tcW w:w="3118" w:type="dxa"/>
          </w:tcPr>
          <w:p w14:paraId="1873C9FC" w14:textId="59178EA2" w:rsidR="00191A23" w:rsidRPr="008F1CDA" w:rsidRDefault="008F1CDA" w:rsidP="00191A23">
            <w:pPr>
              <w:tabs>
                <w:tab w:val="left" w:pos="5400"/>
              </w:tabs>
              <w:rPr>
                <w:sz w:val="20"/>
                <w:lang w:val="en-US"/>
              </w:rPr>
            </w:pPr>
            <w:r w:rsidRPr="008F1CDA">
              <w:rPr>
                <w:sz w:val="20"/>
                <w:lang w:val="en-US"/>
              </w:rPr>
              <w:t>IPI score categorized into "Low" (&lt;1.25) and "High" (≥1.25) using ROC.</w:t>
            </w:r>
          </w:p>
        </w:tc>
      </w:tr>
      <w:tr w:rsidR="00191A23" w:rsidRPr="0022554A" w14:paraId="08BA8A16" w14:textId="77777777" w:rsidTr="00517788">
        <w:tc>
          <w:tcPr>
            <w:tcW w:w="1521" w:type="dxa"/>
            <w:vMerge w:val="restart"/>
          </w:tcPr>
          <w:p w14:paraId="2212648F"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36A87520" w14:textId="77777777" w:rsidR="00191A23" w:rsidRPr="0022554A" w:rsidRDefault="00191A23" w:rsidP="00191A23">
            <w:pPr>
              <w:tabs>
                <w:tab w:val="left" w:pos="5400"/>
              </w:tabs>
              <w:jc w:val="center"/>
              <w:rPr>
                <w:sz w:val="20"/>
              </w:rPr>
            </w:pPr>
            <w:r w:rsidRPr="0022554A">
              <w:rPr>
                <w:sz w:val="20"/>
              </w:rPr>
              <w:t>12</w:t>
            </w:r>
          </w:p>
        </w:tc>
        <w:tc>
          <w:tcPr>
            <w:tcW w:w="8328" w:type="dxa"/>
          </w:tcPr>
          <w:p w14:paraId="77A228C9"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230390E5" w14:textId="3FDDAFB3" w:rsidR="00191A23" w:rsidRPr="0022554A" w:rsidRDefault="008F7C38" w:rsidP="00191A23">
            <w:pPr>
              <w:tabs>
                <w:tab w:val="left" w:pos="5400"/>
              </w:tabs>
              <w:rPr>
                <w:sz w:val="20"/>
                <w:lang w:eastAsia="zh-CN"/>
              </w:rPr>
            </w:pPr>
            <w:r>
              <w:rPr>
                <w:rFonts w:hint="eastAsia"/>
                <w:sz w:val="20"/>
                <w:lang w:eastAsia="zh-CN"/>
              </w:rPr>
              <w:t>Page</w:t>
            </w:r>
            <w:r>
              <w:rPr>
                <w:sz w:val="20"/>
                <w:lang w:eastAsia="zh-CN"/>
              </w:rPr>
              <w:t xml:space="preserve"> </w:t>
            </w:r>
            <w:r w:rsidR="008F1CDA">
              <w:rPr>
                <w:sz w:val="20"/>
                <w:lang w:eastAsia="zh-CN"/>
              </w:rPr>
              <w:t>5</w:t>
            </w:r>
          </w:p>
        </w:tc>
        <w:tc>
          <w:tcPr>
            <w:tcW w:w="3118" w:type="dxa"/>
          </w:tcPr>
          <w:p w14:paraId="281A138E" w14:textId="77777777" w:rsidR="008F1CDA" w:rsidRPr="008F1CDA" w:rsidRDefault="008F1CDA" w:rsidP="008F1CDA">
            <w:pPr>
              <w:tabs>
                <w:tab w:val="left" w:pos="5400"/>
              </w:tabs>
              <w:rPr>
                <w:sz w:val="20"/>
              </w:rPr>
            </w:pPr>
            <w:r w:rsidRPr="008F1CDA">
              <w:rPr>
                <w:sz w:val="20"/>
              </w:rPr>
              <w:t>Kaplan-Meier, log-rank, Cox regression for survival.</w:t>
            </w:r>
          </w:p>
          <w:p w14:paraId="0B6CEE0E" w14:textId="77777777" w:rsidR="008F1CDA" w:rsidRPr="008F1CDA" w:rsidRDefault="008F1CDA" w:rsidP="008F1CDA">
            <w:pPr>
              <w:tabs>
                <w:tab w:val="left" w:pos="5400"/>
              </w:tabs>
              <w:rPr>
                <w:sz w:val="20"/>
              </w:rPr>
            </w:pPr>
          </w:p>
          <w:p w14:paraId="5ADA6DFE" w14:textId="6CF53CCA" w:rsidR="00191A23" w:rsidRPr="0022554A" w:rsidRDefault="008F1CDA" w:rsidP="008F1CDA">
            <w:pPr>
              <w:tabs>
                <w:tab w:val="left" w:pos="5400"/>
              </w:tabs>
              <w:rPr>
                <w:sz w:val="20"/>
              </w:rPr>
            </w:pPr>
            <w:r w:rsidRPr="008F1CDA">
              <w:rPr>
                <w:sz w:val="20"/>
              </w:rPr>
              <w:t>Multivariate model included significant univariate predictors.</w:t>
            </w:r>
          </w:p>
        </w:tc>
      </w:tr>
      <w:tr w:rsidR="00191A23" w:rsidRPr="0022554A" w14:paraId="07C4D4DA" w14:textId="77777777" w:rsidTr="00517788">
        <w:tc>
          <w:tcPr>
            <w:tcW w:w="1521" w:type="dxa"/>
            <w:vMerge/>
          </w:tcPr>
          <w:p w14:paraId="7750152D"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56495F79" w14:textId="77777777" w:rsidR="00191A23" w:rsidRPr="0022554A" w:rsidRDefault="00191A23" w:rsidP="00191A23">
            <w:pPr>
              <w:tabs>
                <w:tab w:val="left" w:pos="5400"/>
              </w:tabs>
              <w:jc w:val="center"/>
              <w:rPr>
                <w:sz w:val="20"/>
              </w:rPr>
            </w:pPr>
          </w:p>
        </w:tc>
        <w:tc>
          <w:tcPr>
            <w:tcW w:w="8328" w:type="dxa"/>
          </w:tcPr>
          <w:p w14:paraId="57E0962C"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5DEE016E" w14:textId="77777777" w:rsidR="00191A23" w:rsidRPr="0022554A" w:rsidRDefault="00191A23" w:rsidP="00191A23">
            <w:pPr>
              <w:tabs>
                <w:tab w:val="left" w:pos="5400"/>
              </w:tabs>
              <w:rPr>
                <w:sz w:val="20"/>
              </w:rPr>
            </w:pPr>
          </w:p>
        </w:tc>
        <w:tc>
          <w:tcPr>
            <w:tcW w:w="3118" w:type="dxa"/>
          </w:tcPr>
          <w:p w14:paraId="0EB9C4F0" w14:textId="77777777" w:rsidR="00191A23" w:rsidRPr="0022554A" w:rsidRDefault="00191A23" w:rsidP="00191A23">
            <w:pPr>
              <w:tabs>
                <w:tab w:val="left" w:pos="5400"/>
              </w:tabs>
              <w:rPr>
                <w:sz w:val="20"/>
              </w:rPr>
            </w:pPr>
          </w:p>
        </w:tc>
      </w:tr>
      <w:tr w:rsidR="00191A23" w:rsidRPr="0022554A" w14:paraId="0DAA929E" w14:textId="77777777" w:rsidTr="00517788">
        <w:tc>
          <w:tcPr>
            <w:tcW w:w="1521" w:type="dxa"/>
            <w:vMerge/>
          </w:tcPr>
          <w:p w14:paraId="25266260"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4C98B2AC" w14:textId="77777777" w:rsidR="00191A23" w:rsidRPr="0022554A" w:rsidRDefault="00191A23" w:rsidP="00191A23">
            <w:pPr>
              <w:tabs>
                <w:tab w:val="left" w:pos="5400"/>
              </w:tabs>
              <w:jc w:val="center"/>
              <w:rPr>
                <w:sz w:val="20"/>
              </w:rPr>
            </w:pPr>
          </w:p>
        </w:tc>
        <w:tc>
          <w:tcPr>
            <w:tcW w:w="8328" w:type="dxa"/>
          </w:tcPr>
          <w:p w14:paraId="190B5A5C"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63964826" w14:textId="77777777" w:rsidR="00191A23" w:rsidRPr="0022554A" w:rsidRDefault="00191A23" w:rsidP="00191A23">
            <w:pPr>
              <w:tabs>
                <w:tab w:val="left" w:pos="5400"/>
              </w:tabs>
              <w:rPr>
                <w:sz w:val="20"/>
              </w:rPr>
            </w:pPr>
          </w:p>
        </w:tc>
        <w:tc>
          <w:tcPr>
            <w:tcW w:w="3118" w:type="dxa"/>
          </w:tcPr>
          <w:p w14:paraId="175AB3A6" w14:textId="77777777" w:rsidR="00191A23" w:rsidRPr="0022554A" w:rsidRDefault="00191A23" w:rsidP="00191A23">
            <w:pPr>
              <w:tabs>
                <w:tab w:val="left" w:pos="5400"/>
              </w:tabs>
              <w:rPr>
                <w:sz w:val="20"/>
              </w:rPr>
            </w:pPr>
          </w:p>
        </w:tc>
      </w:tr>
      <w:tr w:rsidR="00191A23" w:rsidRPr="0022554A" w14:paraId="2ADBEBA2" w14:textId="77777777" w:rsidTr="00517788">
        <w:tc>
          <w:tcPr>
            <w:tcW w:w="1521" w:type="dxa"/>
            <w:vMerge/>
          </w:tcPr>
          <w:p w14:paraId="63C76A6C"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744AA5D2" w14:textId="77777777" w:rsidR="00191A23" w:rsidRPr="0022554A" w:rsidRDefault="00191A23" w:rsidP="00191A23">
            <w:pPr>
              <w:tabs>
                <w:tab w:val="left" w:pos="5400"/>
              </w:tabs>
              <w:jc w:val="center"/>
              <w:rPr>
                <w:sz w:val="20"/>
              </w:rPr>
            </w:pPr>
          </w:p>
        </w:tc>
        <w:tc>
          <w:tcPr>
            <w:tcW w:w="8328" w:type="dxa"/>
          </w:tcPr>
          <w:p w14:paraId="6EC85B67"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176770D6"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7660834D"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6F9A1EB3" w14:textId="77777777" w:rsidR="00191A23" w:rsidRPr="0022554A" w:rsidRDefault="00191A23" w:rsidP="00191A23">
            <w:pPr>
              <w:tabs>
                <w:tab w:val="left" w:pos="5400"/>
              </w:tabs>
              <w:rPr>
                <w:sz w:val="20"/>
              </w:rPr>
            </w:pPr>
          </w:p>
        </w:tc>
        <w:tc>
          <w:tcPr>
            <w:tcW w:w="3118" w:type="dxa"/>
          </w:tcPr>
          <w:p w14:paraId="0698B171" w14:textId="77777777" w:rsidR="00191A23" w:rsidRPr="0022554A" w:rsidRDefault="00191A23" w:rsidP="00191A23">
            <w:pPr>
              <w:tabs>
                <w:tab w:val="left" w:pos="5400"/>
              </w:tabs>
              <w:rPr>
                <w:sz w:val="20"/>
              </w:rPr>
            </w:pPr>
          </w:p>
        </w:tc>
      </w:tr>
      <w:tr w:rsidR="00191A23" w:rsidRPr="0022554A" w14:paraId="12D71467" w14:textId="77777777" w:rsidTr="00517788">
        <w:tc>
          <w:tcPr>
            <w:tcW w:w="1521" w:type="dxa"/>
            <w:vMerge/>
          </w:tcPr>
          <w:p w14:paraId="51EB6670"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4EC5C68E" w14:textId="77777777" w:rsidR="00191A23" w:rsidRPr="0022554A" w:rsidRDefault="00191A23" w:rsidP="00191A23">
            <w:pPr>
              <w:tabs>
                <w:tab w:val="left" w:pos="5400"/>
              </w:tabs>
              <w:jc w:val="center"/>
              <w:rPr>
                <w:sz w:val="20"/>
              </w:rPr>
            </w:pPr>
          </w:p>
        </w:tc>
        <w:tc>
          <w:tcPr>
            <w:tcW w:w="8328" w:type="dxa"/>
          </w:tcPr>
          <w:p w14:paraId="145F16B2"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1EF66DBA" w14:textId="77777777" w:rsidR="00191A23" w:rsidRPr="0022554A" w:rsidRDefault="00191A23" w:rsidP="00191A23">
            <w:pPr>
              <w:tabs>
                <w:tab w:val="left" w:pos="5400"/>
              </w:tabs>
              <w:rPr>
                <w:sz w:val="20"/>
              </w:rPr>
            </w:pPr>
          </w:p>
        </w:tc>
        <w:tc>
          <w:tcPr>
            <w:tcW w:w="3118" w:type="dxa"/>
          </w:tcPr>
          <w:p w14:paraId="6EDC41D9" w14:textId="77777777" w:rsidR="00191A23" w:rsidRPr="0022554A" w:rsidRDefault="00191A23" w:rsidP="00191A23">
            <w:pPr>
              <w:tabs>
                <w:tab w:val="left" w:pos="5400"/>
              </w:tabs>
              <w:rPr>
                <w:sz w:val="20"/>
              </w:rPr>
            </w:pPr>
          </w:p>
        </w:tc>
      </w:tr>
      <w:bookmarkEnd w:id="52"/>
      <w:bookmarkEnd w:id="53"/>
      <w:tr w:rsidR="00191A23" w:rsidRPr="0022554A" w14:paraId="208982B6" w14:textId="77777777" w:rsidTr="00191A23">
        <w:tc>
          <w:tcPr>
            <w:tcW w:w="14992" w:type="dxa"/>
            <w:gridSpan w:val="5"/>
          </w:tcPr>
          <w:p w14:paraId="60365C8D"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1F7A7BB2" w14:textId="77777777" w:rsidTr="00517788">
        <w:tc>
          <w:tcPr>
            <w:tcW w:w="0" w:type="auto"/>
            <w:vMerge w:val="restart"/>
          </w:tcPr>
          <w:p w14:paraId="566852C3"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7B3BEA16"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449059BC"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70CF51FE" w14:textId="4182C7D5" w:rsidR="00191A23" w:rsidRDefault="00F465AB" w:rsidP="00191A23">
            <w:pPr>
              <w:tabs>
                <w:tab w:val="left" w:pos="5400"/>
              </w:tabs>
              <w:rPr>
                <w:sz w:val="20"/>
              </w:rPr>
            </w:pPr>
            <w:r>
              <w:rPr>
                <w:rFonts w:hint="eastAsia"/>
                <w:sz w:val="20"/>
                <w:lang w:eastAsia="zh-CN"/>
              </w:rPr>
              <w:t>Page</w:t>
            </w:r>
            <w:r>
              <w:rPr>
                <w:sz w:val="20"/>
              </w:rPr>
              <w:t xml:space="preserve"> </w:t>
            </w:r>
            <w:r w:rsidR="008F1CDA">
              <w:rPr>
                <w:sz w:val="20"/>
              </w:rPr>
              <w:t>6</w:t>
            </w:r>
            <w:r>
              <w:rPr>
                <w:sz w:val="20"/>
              </w:rPr>
              <w:t xml:space="preserve"> </w:t>
            </w:r>
          </w:p>
        </w:tc>
        <w:tc>
          <w:tcPr>
            <w:tcW w:w="3118" w:type="dxa"/>
          </w:tcPr>
          <w:p w14:paraId="60B8F566" w14:textId="77777777" w:rsidR="00191A23" w:rsidRDefault="008F1CDA" w:rsidP="00191A23">
            <w:pPr>
              <w:tabs>
                <w:tab w:val="left" w:pos="5400"/>
              </w:tabs>
              <w:rPr>
                <w:sz w:val="20"/>
                <w:lang w:val="en-US"/>
              </w:rPr>
            </w:pPr>
            <w:r w:rsidRPr="008F1CDA">
              <w:rPr>
                <w:sz w:val="20"/>
                <w:lang w:val="en-US"/>
              </w:rPr>
              <w:t>94 ES-SCLC patients included; 82% mortality during follow-up.</w:t>
            </w:r>
          </w:p>
          <w:p w14:paraId="5C896F2A" w14:textId="36C18757" w:rsidR="008F1CDA" w:rsidRPr="008F1CDA" w:rsidRDefault="008F1CDA" w:rsidP="00191A23">
            <w:pPr>
              <w:tabs>
                <w:tab w:val="left" w:pos="5400"/>
              </w:tabs>
              <w:rPr>
                <w:sz w:val="20"/>
                <w:lang w:val="en-US"/>
              </w:rPr>
            </w:pPr>
          </w:p>
        </w:tc>
      </w:tr>
      <w:tr w:rsidR="00191A23" w:rsidRPr="0022554A" w14:paraId="253E1A1A" w14:textId="77777777" w:rsidTr="00517788">
        <w:tc>
          <w:tcPr>
            <w:tcW w:w="0" w:type="auto"/>
            <w:vMerge/>
          </w:tcPr>
          <w:p w14:paraId="38E8228C"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3C822841" w14:textId="77777777" w:rsidR="00191A23" w:rsidRPr="0022554A" w:rsidRDefault="00191A23" w:rsidP="00191A23">
            <w:pPr>
              <w:tabs>
                <w:tab w:val="left" w:pos="5400"/>
              </w:tabs>
              <w:jc w:val="center"/>
              <w:rPr>
                <w:sz w:val="20"/>
              </w:rPr>
            </w:pPr>
          </w:p>
        </w:tc>
        <w:tc>
          <w:tcPr>
            <w:tcW w:w="8328" w:type="dxa"/>
          </w:tcPr>
          <w:p w14:paraId="684F25D2"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3F6ACBD2" w14:textId="77777777" w:rsidR="00191A23" w:rsidRDefault="00191A23" w:rsidP="00191A23">
            <w:pPr>
              <w:tabs>
                <w:tab w:val="left" w:pos="5400"/>
              </w:tabs>
              <w:rPr>
                <w:sz w:val="20"/>
              </w:rPr>
            </w:pPr>
          </w:p>
        </w:tc>
        <w:tc>
          <w:tcPr>
            <w:tcW w:w="3118" w:type="dxa"/>
          </w:tcPr>
          <w:p w14:paraId="7F1A0BA8" w14:textId="77777777" w:rsidR="00191A23" w:rsidRDefault="00191A23" w:rsidP="00191A23">
            <w:pPr>
              <w:tabs>
                <w:tab w:val="left" w:pos="5400"/>
              </w:tabs>
              <w:rPr>
                <w:sz w:val="20"/>
              </w:rPr>
            </w:pPr>
          </w:p>
        </w:tc>
      </w:tr>
      <w:tr w:rsidR="00191A23" w:rsidRPr="0022554A" w14:paraId="0CCAB7A3" w14:textId="77777777" w:rsidTr="00517788">
        <w:tc>
          <w:tcPr>
            <w:tcW w:w="0" w:type="auto"/>
            <w:vMerge/>
          </w:tcPr>
          <w:p w14:paraId="5A7C2AD7"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68845A50" w14:textId="77777777" w:rsidR="00191A23" w:rsidRPr="0022554A" w:rsidRDefault="00191A23" w:rsidP="00191A23">
            <w:pPr>
              <w:tabs>
                <w:tab w:val="left" w:pos="5400"/>
              </w:tabs>
              <w:jc w:val="center"/>
              <w:rPr>
                <w:sz w:val="20"/>
              </w:rPr>
            </w:pPr>
          </w:p>
        </w:tc>
        <w:tc>
          <w:tcPr>
            <w:tcW w:w="8328" w:type="dxa"/>
          </w:tcPr>
          <w:p w14:paraId="38899198"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10A34897" w14:textId="77777777" w:rsidR="00191A23" w:rsidRDefault="00191A23" w:rsidP="00191A23">
            <w:pPr>
              <w:tabs>
                <w:tab w:val="left" w:pos="5400"/>
              </w:tabs>
              <w:rPr>
                <w:sz w:val="20"/>
              </w:rPr>
            </w:pPr>
          </w:p>
        </w:tc>
        <w:tc>
          <w:tcPr>
            <w:tcW w:w="3118" w:type="dxa"/>
          </w:tcPr>
          <w:p w14:paraId="6324908F" w14:textId="77777777" w:rsidR="00191A23" w:rsidRDefault="00191A23" w:rsidP="00191A23">
            <w:pPr>
              <w:tabs>
                <w:tab w:val="left" w:pos="5400"/>
              </w:tabs>
              <w:rPr>
                <w:sz w:val="20"/>
              </w:rPr>
            </w:pPr>
          </w:p>
        </w:tc>
      </w:tr>
      <w:tr w:rsidR="00191A23" w:rsidRPr="0022554A" w14:paraId="3054FC9E" w14:textId="77777777" w:rsidTr="00517788">
        <w:tc>
          <w:tcPr>
            <w:tcW w:w="0" w:type="auto"/>
            <w:vMerge w:val="restart"/>
          </w:tcPr>
          <w:p w14:paraId="57F39B17"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3791A802"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69E728B8"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64120C6F" w14:textId="087375DA" w:rsidR="00191A23" w:rsidRDefault="00F56C39" w:rsidP="00191A23">
            <w:pPr>
              <w:tabs>
                <w:tab w:val="left" w:pos="5400"/>
              </w:tabs>
              <w:rPr>
                <w:sz w:val="20"/>
                <w:lang w:eastAsia="zh-CN"/>
              </w:rPr>
            </w:pPr>
            <w:r>
              <w:rPr>
                <w:rFonts w:hint="eastAsia"/>
                <w:sz w:val="20"/>
                <w:lang w:eastAsia="zh-CN"/>
              </w:rPr>
              <w:t>P</w:t>
            </w:r>
            <w:r>
              <w:rPr>
                <w:sz w:val="20"/>
                <w:lang w:eastAsia="zh-CN"/>
              </w:rPr>
              <w:t xml:space="preserve">age </w:t>
            </w:r>
            <w:r w:rsidR="008F1CDA">
              <w:rPr>
                <w:sz w:val="20"/>
                <w:lang w:eastAsia="zh-CN"/>
              </w:rPr>
              <w:t>6</w:t>
            </w:r>
          </w:p>
        </w:tc>
        <w:tc>
          <w:tcPr>
            <w:tcW w:w="3118" w:type="dxa"/>
          </w:tcPr>
          <w:p w14:paraId="2373E640" w14:textId="547F8AAD" w:rsidR="00191A23" w:rsidRDefault="008F1CDA" w:rsidP="00191A23">
            <w:pPr>
              <w:tabs>
                <w:tab w:val="left" w:pos="5400"/>
              </w:tabs>
              <w:rPr>
                <w:sz w:val="20"/>
              </w:rPr>
            </w:pPr>
            <w:r w:rsidRPr="008F1CDA">
              <w:rPr>
                <w:sz w:val="20"/>
              </w:rPr>
              <w:t>Mean age: 62.6; 90.4% male; bone most common metastasis (59.6%)</w:t>
            </w:r>
          </w:p>
        </w:tc>
      </w:tr>
      <w:tr w:rsidR="00191A23" w:rsidRPr="0022554A" w14:paraId="70A8DC64" w14:textId="77777777" w:rsidTr="00517788">
        <w:tc>
          <w:tcPr>
            <w:tcW w:w="0" w:type="auto"/>
            <w:vMerge/>
          </w:tcPr>
          <w:p w14:paraId="476C0B4C"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16FA2A8B" w14:textId="77777777" w:rsidR="00191A23" w:rsidRPr="0022554A" w:rsidRDefault="00191A23" w:rsidP="00191A23">
            <w:pPr>
              <w:tabs>
                <w:tab w:val="left" w:pos="5400"/>
              </w:tabs>
              <w:jc w:val="center"/>
              <w:rPr>
                <w:sz w:val="20"/>
              </w:rPr>
            </w:pPr>
          </w:p>
        </w:tc>
        <w:tc>
          <w:tcPr>
            <w:tcW w:w="8328" w:type="dxa"/>
          </w:tcPr>
          <w:p w14:paraId="163ED85C"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03FF0E4D" w14:textId="77777777" w:rsidR="00191A23" w:rsidRDefault="00191A23" w:rsidP="00191A23">
            <w:pPr>
              <w:tabs>
                <w:tab w:val="left" w:pos="5400"/>
              </w:tabs>
              <w:rPr>
                <w:sz w:val="20"/>
              </w:rPr>
            </w:pPr>
          </w:p>
        </w:tc>
        <w:tc>
          <w:tcPr>
            <w:tcW w:w="3118" w:type="dxa"/>
          </w:tcPr>
          <w:p w14:paraId="6AD46162" w14:textId="77777777" w:rsidR="00191A23" w:rsidRDefault="00191A23" w:rsidP="00191A23">
            <w:pPr>
              <w:tabs>
                <w:tab w:val="left" w:pos="5400"/>
              </w:tabs>
              <w:rPr>
                <w:sz w:val="20"/>
              </w:rPr>
            </w:pPr>
          </w:p>
        </w:tc>
      </w:tr>
      <w:tr w:rsidR="00191A23" w:rsidRPr="0022554A" w14:paraId="579FFDE8" w14:textId="77777777" w:rsidTr="00517788">
        <w:tc>
          <w:tcPr>
            <w:tcW w:w="0" w:type="auto"/>
            <w:vMerge/>
          </w:tcPr>
          <w:p w14:paraId="191BE8D5"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5EBFFAA2" w14:textId="77777777" w:rsidR="00191A23" w:rsidRPr="0022554A" w:rsidRDefault="00191A23" w:rsidP="00191A23">
            <w:pPr>
              <w:tabs>
                <w:tab w:val="left" w:pos="5400"/>
              </w:tabs>
              <w:jc w:val="center"/>
              <w:rPr>
                <w:sz w:val="20"/>
              </w:rPr>
            </w:pPr>
          </w:p>
        </w:tc>
        <w:tc>
          <w:tcPr>
            <w:tcW w:w="8328" w:type="dxa"/>
          </w:tcPr>
          <w:p w14:paraId="05FF0F18"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14:paraId="24F2B0F6" w14:textId="77777777" w:rsidR="00191A23" w:rsidRDefault="00191A23" w:rsidP="00191A23">
            <w:pPr>
              <w:tabs>
                <w:tab w:val="left" w:pos="5400"/>
              </w:tabs>
              <w:rPr>
                <w:sz w:val="20"/>
              </w:rPr>
            </w:pPr>
          </w:p>
        </w:tc>
        <w:tc>
          <w:tcPr>
            <w:tcW w:w="3118" w:type="dxa"/>
          </w:tcPr>
          <w:p w14:paraId="0D7B8B69" w14:textId="77777777" w:rsidR="00191A23" w:rsidRDefault="00191A23" w:rsidP="00191A23">
            <w:pPr>
              <w:tabs>
                <w:tab w:val="left" w:pos="5400"/>
              </w:tabs>
              <w:rPr>
                <w:sz w:val="20"/>
              </w:rPr>
            </w:pPr>
          </w:p>
        </w:tc>
      </w:tr>
      <w:tr w:rsidR="00191A23" w:rsidRPr="0022554A" w14:paraId="6D76A548" w14:textId="77777777" w:rsidTr="00517788">
        <w:trPr>
          <w:trHeight w:val="295"/>
        </w:trPr>
        <w:tc>
          <w:tcPr>
            <w:tcW w:w="0" w:type="auto"/>
            <w:vMerge w:val="restart"/>
          </w:tcPr>
          <w:p w14:paraId="2FDC810D"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394FAC69"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40960612"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5673B6C8" w14:textId="77777777" w:rsidR="00191A23" w:rsidRPr="0022554A" w:rsidRDefault="00191A23" w:rsidP="00191A23">
            <w:pPr>
              <w:tabs>
                <w:tab w:val="left" w:pos="5400"/>
              </w:tabs>
              <w:rPr>
                <w:i/>
                <w:sz w:val="20"/>
              </w:rPr>
            </w:pPr>
          </w:p>
        </w:tc>
        <w:tc>
          <w:tcPr>
            <w:tcW w:w="3118" w:type="dxa"/>
          </w:tcPr>
          <w:p w14:paraId="3037F31E" w14:textId="77777777" w:rsidR="00191A23" w:rsidRPr="0022554A" w:rsidRDefault="00191A23" w:rsidP="00191A23">
            <w:pPr>
              <w:tabs>
                <w:tab w:val="left" w:pos="5400"/>
              </w:tabs>
              <w:rPr>
                <w:i/>
                <w:sz w:val="20"/>
              </w:rPr>
            </w:pPr>
          </w:p>
        </w:tc>
      </w:tr>
      <w:bookmarkEnd w:id="71"/>
      <w:bookmarkEnd w:id="72"/>
      <w:tr w:rsidR="00654866" w:rsidRPr="0022554A" w14:paraId="6EAF0D55" w14:textId="77777777" w:rsidTr="00517788">
        <w:trPr>
          <w:trHeight w:val="294"/>
        </w:trPr>
        <w:tc>
          <w:tcPr>
            <w:tcW w:w="0" w:type="auto"/>
            <w:vMerge/>
          </w:tcPr>
          <w:p w14:paraId="7BAF9DC2" w14:textId="77777777" w:rsidR="00654866" w:rsidRPr="0022554A" w:rsidRDefault="00654866" w:rsidP="00654866">
            <w:pPr>
              <w:tabs>
                <w:tab w:val="left" w:pos="5400"/>
              </w:tabs>
              <w:rPr>
                <w:bCs/>
                <w:sz w:val="20"/>
              </w:rPr>
            </w:pPr>
          </w:p>
        </w:tc>
        <w:tc>
          <w:tcPr>
            <w:tcW w:w="0" w:type="auto"/>
            <w:vMerge/>
          </w:tcPr>
          <w:p w14:paraId="1B441D2E" w14:textId="77777777" w:rsidR="00654866" w:rsidRPr="0022554A" w:rsidRDefault="00654866" w:rsidP="00654866">
            <w:pPr>
              <w:tabs>
                <w:tab w:val="left" w:pos="5400"/>
              </w:tabs>
              <w:jc w:val="center"/>
              <w:rPr>
                <w:sz w:val="20"/>
              </w:rPr>
            </w:pPr>
          </w:p>
        </w:tc>
        <w:tc>
          <w:tcPr>
            <w:tcW w:w="8328" w:type="dxa"/>
          </w:tcPr>
          <w:p w14:paraId="1F203160" w14:textId="77777777" w:rsidR="00654866" w:rsidRPr="0022554A" w:rsidRDefault="00654866" w:rsidP="00654866">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3112E42D" w14:textId="63414846" w:rsidR="00654866" w:rsidRPr="0022554A" w:rsidRDefault="00654866" w:rsidP="00654866">
            <w:pPr>
              <w:tabs>
                <w:tab w:val="left" w:pos="5400"/>
              </w:tabs>
              <w:rPr>
                <w:i/>
                <w:sz w:val="20"/>
              </w:rPr>
            </w:pPr>
            <w:r>
              <w:rPr>
                <w:rFonts w:hint="eastAsia"/>
                <w:sz w:val="20"/>
                <w:lang w:eastAsia="zh-CN"/>
              </w:rPr>
              <w:t>Page</w:t>
            </w:r>
            <w:r>
              <w:rPr>
                <w:sz w:val="20"/>
              </w:rPr>
              <w:t xml:space="preserve"> </w:t>
            </w:r>
            <w:r w:rsidR="008F1CDA">
              <w:rPr>
                <w:sz w:val="20"/>
              </w:rPr>
              <w:t>6</w:t>
            </w:r>
            <w:r>
              <w:rPr>
                <w:sz w:val="20"/>
              </w:rPr>
              <w:t xml:space="preserve"> </w:t>
            </w:r>
          </w:p>
        </w:tc>
        <w:tc>
          <w:tcPr>
            <w:tcW w:w="3118" w:type="dxa"/>
          </w:tcPr>
          <w:p w14:paraId="3CC863F2" w14:textId="6EBD043D" w:rsidR="00654866" w:rsidRPr="008F1CDA" w:rsidRDefault="008F1CDA" w:rsidP="00654866">
            <w:pPr>
              <w:tabs>
                <w:tab w:val="left" w:pos="5400"/>
              </w:tabs>
              <w:rPr>
                <w:sz w:val="20"/>
                <w:lang w:val="en-US"/>
              </w:rPr>
            </w:pPr>
            <w:r w:rsidRPr="008F1CDA">
              <w:rPr>
                <w:sz w:val="20"/>
                <w:lang w:val="en-US"/>
              </w:rPr>
              <w:t>Mean OS: Low IPI: 23 mo; High IPI: 9 mo (p = 0.005)</w:t>
            </w:r>
          </w:p>
        </w:tc>
      </w:tr>
      <w:tr w:rsidR="00654866" w:rsidRPr="0022554A" w14:paraId="3DA8672C" w14:textId="77777777" w:rsidTr="00517788">
        <w:trPr>
          <w:trHeight w:val="294"/>
        </w:trPr>
        <w:tc>
          <w:tcPr>
            <w:tcW w:w="0" w:type="auto"/>
            <w:vMerge/>
          </w:tcPr>
          <w:p w14:paraId="4C9F6E97" w14:textId="77777777" w:rsidR="00654866" w:rsidRPr="0022554A" w:rsidRDefault="00654866" w:rsidP="00654866">
            <w:pPr>
              <w:tabs>
                <w:tab w:val="left" w:pos="5400"/>
              </w:tabs>
              <w:rPr>
                <w:bCs/>
                <w:sz w:val="20"/>
              </w:rPr>
            </w:pPr>
          </w:p>
        </w:tc>
        <w:tc>
          <w:tcPr>
            <w:tcW w:w="0" w:type="auto"/>
            <w:vMerge/>
          </w:tcPr>
          <w:p w14:paraId="1B626250" w14:textId="77777777" w:rsidR="00654866" w:rsidRPr="0022554A" w:rsidRDefault="00654866" w:rsidP="00654866">
            <w:pPr>
              <w:tabs>
                <w:tab w:val="left" w:pos="5400"/>
              </w:tabs>
              <w:jc w:val="center"/>
              <w:rPr>
                <w:sz w:val="20"/>
              </w:rPr>
            </w:pPr>
          </w:p>
        </w:tc>
        <w:tc>
          <w:tcPr>
            <w:tcW w:w="8328" w:type="dxa"/>
          </w:tcPr>
          <w:p w14:paraId="2862472B" w14:textId="77777777" w:rsidR="00654866" w:rsidRPr="0022554A" w:rsidRDefault="00654866" w:rsidP="00654866">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5D51079F" w14:textId="77777777" w:rsidR="00654866" w:rsidRDefault="00654866" w:rsidP="00654866">
            <w:pPr>
              <w:tabs>
                <w:tab w:val="left" w:pos="5400"/>
              </w:tabs>
              <w:rPr>
                <w:i/>
                <w:sz w:val="20"/>
              </w:rPr>
            </w:pPr>
          </w:p>
        </w:tc>
        <w:tc>
          <w:tcPr>
            <w:tcW w:w="3118" w:type="dxa"/>
          </w:tcPr>
          <w:p w14:paraId="089E5826" w14:textId="77777777" w:rsidR="00654866" w:rsidRDefault="00654866" w:rsidP="00654866">
            <w:pPr>
              <w:tabs>
                <w:tab w:val="left" w:pos="5400"/>
              </w:tabs>
              <w:rPr>
                <w:i/>
                <w:sz w:val="20"/>
              </w:rPr>
            </w:pPr>
          </w:p>
        </w:tc>
      </w:tr>
      <w:tr w:rsidR="00654866" w:rsidRPr="0022554A" w14:paraId="323F01F0" w14:textId="77777777" w:rsidTr="00517788">
        <w:tc>
          <w:tcPr>
            <w:tcW w:w="0" w:type="auto"/>
            <w:vMerge w:val="restart"/>
          </w:tcPr>
          <w:p w14:paraId="008AD3C3" w14:textId="77777777" w:rsidR="00654866" w:rsidRPr="0022554A" w:rsidRDefault="00654866" w:rsidP="00654866">
            <w:pPr>
              <w:tabs>
                <w:tab w:val="left" w:pos="5400"/>
              </w:tabs>
              <w:rPr>
                <w:bCs/>
                <w:sz w:val="20"/>
              </w:rPr>
            </w:pPr>
            <w:bookmarkStart w:id="74" w:name="italic40" w:colFirst="0" w:colLast="0"/>
            <w:bookmarkStart w:id="75" w:name="bold41" w:colFirst="0" w:colLast="0"/>
            <w:r w:rsidRPr="0022554A">
              <w:rPr>
                <w:bCs/>
                <w:sz w:val="20"/>
              </w:rPr>
              <w:lastRenderedPageBreak/>
              <w:t>Main results</w:t>
            </w:r>
          </w:p>
        </w:tc>
        <w:tc>
          <w:tcPr>
            <w:tcW w:w="0" w:type="auto"/>
            <w:vMerge w:val="restart"/>
          </w:tcPr>
          <w:p w14:paraId="68EA8BF8" w14:textId="77777777" w:rsidR="00654866" w:rsidRPr="0022554A" w:rsidRDefault="00654866" w:rsidP="00654866">
            <w:pPr>
              <w:tabs>
                <w:tab w:val="left" w:pos="5400"/>
              </w:tabs>
              <w:jc w:val="center"/>
              <w:rPr>
                <w:sz w:val="20"/>
              </w:rPr>
            </w:pPr>
            <w:r w:rsidRPr="0022554A">
              <w:rPr>
                <w:sz w:val="20"/>
              </w:rPr>
              <w:t>16</w:t>
            </w:r>
          </w:p>
        </w:tc>
        <w:tc>
          <w:tcPr>
            <w:tcW w:w="8328" w:type="dxa"/>
          </w:tcPr>
          <w:p w14:paraId="0908A8C7" w14:textId="77777777" w:rsidR="00654866" w:rsidRPr="006149D3" w:rsidRDefault="00654866" w:rsidP="00654866">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14:paraId="2C3F86A7" w14:textId="7B016346" w:rsidR="00654866" w:rsidRPr="0022554A" w:rsidRDefault="00A22E0A" w:rsidP="00654866">
            <w:pPr>
              <w:tabs>
                <w:tab w:val="left" w:pos="5400"/>
              </w:tabs>
              <w:rPr>
                <w:sz w:val="20"/>
                <w:lang w:eastAsia="zh-CN"/>
              </w:rPr>
            </w:pPr>
            <w:r>
              <w:rPr>
                <w:rFonts w:hint="eastAsia"/>
                <w:sz w:val="20"/>
                <w:lang w:eastAsia="zh-CN"/>
              </w:rPr>
              <w:t>P</w:t>
            </w:r>
            <w:r>
              <w:rPr>
                <w:sz w:val="20"/>
                <w:lang w:eastAsia="zh-CN"/>
              </w:rPr>
              <w:t xml:space="preserve">age </w:t>
            </w:r>
            <w:r w:rsidR="008F1CDA">
              <w:rPr>
                <w:sz w:val="20"/>
                <w:lang w:eastAsia="zh-CN"/>
              </w:rPr>
              <w:t>7</w:t>
            </w:r>
            <w:r>
              <w:rPr>
                <w:sz w:val="20"/>
                <w:lang w:eastAsia="zh-CN"/>
              </w:rPr>
              <w:t xml:space="preserve"> </w:t>
            </w:r>
          </w:p>
        </w:tc>
        <w:tc>
          <w:tcPr>
            <w:tcW w:w="3118" w:type="dxa"/>
          </w:tcPr>
          <w:p w14:paraId="1E3D538C" w14:textId="77777777" w:rsidR="008F1CDA" w:rsidRPr="008F1CDA" w:rsidRDefault="008F1CDA" w:rsidP="008F1CDA">
            <w:pPr>
              <w:tabs>
                <w:tab w:val="left" w:pos="5400"/>
              </w:tabs>
              <w:rPr>
                <w:sz w:val="20"/>
              </w:rPr>
            </w:pPr>
            <w:r w:rsidRPr="008F1CDA">
              <w:rPr>
                <w:sz w:val="20"/>
              </w:rPr>
              <w:t>High IPI independently associated with poorer OS.</w:t>
            </w:r>
          </w:p>
          <w:p w14:paraId="31BAE00D" w14:textId="77777777" w:rsidR="008F1CDA" w:rsidRPr="008F1CDA" w:rsidRDefault="008F1CDA" w:rsidP="008F1CDA">
            <w:pPr>
              <w:tabs>
                <w:tab w:val="left" w:pos="5400"/>
              </w:tabs>
              <w:rPr>
                <w:sz w:val="20"/>
              </w:rPr>
            </w:pPr>
          </w:p>
          <w:p w14:paraId="1C1D7C87" w14:textId="6932236B" w:rsidR="00654866" w:rsidRPr="0022554A" w:rsidRDefault="008F1CDA" w:rsidP="008F1CDA">
            <w:pPr>
              <w:tabs>
                <w:tab w:val="left" w:pos="5400"/>
              </w:tabs>
              <w:rPr>
                <w:sz w:val="20"/>
              </w:rPr>
            </w:pPr>
            <w:r w:rsidRPr="008F1CDA">
              <w:rPr>
                <w:sz w:val="20"/>
              </w:rPr>
              <w:t>HR (univariate): 1.029; HR (multivariate): 1.081</w:t>
            </w:r>
          </w:p>
        </w:tc>
      </w:tr>
      <w:tr w:rsidR="00654866" w:rsidRPr="0022554A" w14:paraId="69EB5F6B" w14:textId="77777777" w:rsidTr="00517788">
        <w:tc>
          <w:tcPr>
            <w:tcW w:w="0" w:type="auto"/>
            <w:vMerge/>
          </w:tcPr>
          <w:p w14:paraId="363A2530" w14:textId="77777777" w:rsidR="00654866" w:rsidRPr="0022554A" w:rsidRDefault="00654866" w:rsidP="00654866">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6FB16379" w14:textId="77777777" w:rsidR="00654866" w:rsidRPr="0022554A" w:rsidRDefault="00654866" w:rsidP="00654866">
            <w:pPr>
              <w:tabs>
                <w:tab w:val="left" w:pos="5400"/>
              </w:tabs>
              <w:jc w:val="center"/>
              <w:rPr>
                <w:sz w:val="20"/>
              </w:rPr>
            </w:pPr>
          </w:p>
        </w:tc>
        <w:tc>
          <w:tcPr>
            <w:tcW w:w="8328" w:type="dxa"/>
          </w:tcPr>
          <w:p w14:paraId="03420C47" w14:textId="77777777" w:rsidR="00654866" w:rsidRPr="006149D3" w:rsidRDefault="00654866" w:rsidP="00654866">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17DDA1E3" w14:textId="77777777" w:rsidR="00654866" w:rsidRPr="0022554A" w:rsidRDefault="00654866" w:rsidP="00654866">
            <w:pPr>
              <w:tabs>
                <w:tab w:val="left" w:pos="5400"/>
              </w:tabs>
              <w:rPr>
                <w:sz w:val="20"/>
              </w:rPr>
            </w:pPr>
          </w:p>
        </w:tc>
        <w:tc>
          <w:tcPr>
            <w:tcW w:w="3118" w:type="dxa"/>
          </w:tcPr>
          <w:p w14:paraId="2C984DBF" w14:textId="77777777" w:rsidR="00654866" w:rsidRPr="0022554A" w:rsidRDefault="00654866" w:rsidP="00654866">
            <w:pPr>
              <w:tabs>
                <w:tab w:val="left" w:pos="5400"/>
              </w:tabs>
              <w:rPr>
                <w:sz w:val="20"/>
              </w:rPr>
            </w:pPr>
          </w:p>
        </w:tc>
      </w:tr>
      <w:tr w:rsidR="00654866" w:rsidRPr="0022554A" w14:paraId="3369E924" w14:textId="77777777" w:rsidTr="00517788">
        <w:tc>
          <w:tcPr>
            <w:tcW w:w="0" w:type="auto"/>
            <w:vMerge/>
          </w:tcPr>
          <w:p w14:paraId="05B86D35" w14:textId="77777777" w:rsidR="00654866" w:rsidRPr="0022554A" w:rsidRDefault="00654866" w:rsidP="00654866">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0F423BDC" w14:textId="77777777" w:rsidR="00654866" w:rsidRPr="0022554A" w:rsidRDefault="00654866" w:rsidP="00654866">
            <w:pPr>
              <w:tabs>
                <w:tab w:val="left" w:pos="5400"/>
              </w:tabs>
              <w:jc w:val="center"/>
              <w:rPr>
                <w:sz w:val="20"/>
              </w:rPr>
            </w:pPr>
          </w:p>
        </w:tc>
        <w:tc>
          <w:tcPr>
            <w:tcW w:w="8328" w:type="dxa"/>
          </w:tcPr>
          <w:p w14:paraId="7AFF23D6" w14:textId="77777777" w:rsidR="00654866" w:rsidRPr="006149D3" w:rsidRDefault="00654866" w:rsidP="00654866">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290EBC6F" w14:textId="77777777" w:rsidR="00654866" w:rsidRPr="0022554A" w:rsidRDefault="00654866" w:rsidP="00654866">
            <w:pPr>
              <w:tabs>
                <w:tab w:val="left" w:pos="5400"/>
              </w:tabs>
              <w:rPr>
                <w:sz w:val="20"/>
              </w:rPr>
            </w:pPr>
          </w:p>
        </w:tc>
        <w:tc>
          <w:tcPr>
            <w:tcW w:w="3118" w:type="dxa"/>
          </w:tcPr>
          <w:p w14:paraId="355FB32F" w14:textId="77777777" w:rsidR="00654866" w:rsidRPr="0022554A" w:rsidRDefault="00654866" w:rsidP="00654866">
            <w:pPr>
              <w:tabs>
                <w:tab w:val="left" w:pos="5400"/>
              </w:tabs>
              <w:rPr>
                <w:sz w:val="20"/>
              </w:rPr>
            </w:pPr>
          </w:p>
        </w:tc>
      </w:tr>
    </w:tbl>
    <w:p w14:paraId="0121E678"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116BD693" w14:textId="77777777" w:rsidTr="00517788">
        <w:tc>
          <w:tcPr>
            <w:tcW w:w="0" w:type="auto"/>
          </w:tcPr>
          <w:p w14:paraId="0C933BA6" w14:textId="77777777" w:rsidR="00191A23" w:rsidRPr="0022554A" w:rsidRDefault="00191A23" w:rsidP="00191A23">
            <w:pPr>
              <w:tabs>
                <w:tab w:val="left" w:pos="5400"/>
              </w:tabs>
              <w:rPr>
                <w:bCs/>
                <w:sz w:val="20"/>
              </w:rPr>
            </w:pPr>
            <w:r w:rsidRPr="0022554A">
              <w:rPr>
                <w:bCs/>
                <w:sz w:val="20"/>
              </w:rPr>
              <w:t>Other analyses</w:t>
            </w:r>
            <w:bookmarkEnd w:id="80"/>
            <w:bookmarkEnd w:id="81"/>
          </w:p>
        </w:tc>
        <w:tc>
          <w:tcPr>
            <w:tcW w:w="0" w:type="auto"/>
          </w:tcPr>
          <w:p w14:paraId="07640FAC" w14:textId="77777777" w:rsidR="00191A23" w:rsidRPr="0022554A" w:rsidRDefault="00191A23" w:rsidP="00191A23">
            <w:pPr>
              <w:tabs>
                <w:tab w:val="left" w:pos="5400"/>
              </w:tabs>
              <w:jc w:val="center"/>
              <w:rPr>
                <w:sz w:val="20"/>
              </w:rPr>
            </w:pPr>
            <w:r w:rsidRPr="0022554A">
              <w:rPr>
                <w:sz w:val="20"/>
              </w:rPr>
              <w:t>17</w:t>
            </w:r>
          </w:p>
        </w:tc>
        <w:tc>
          <w:tcPr>
            <w:tcW w:w="8687" w:type="dxa"/>
          </w:tcPr>
          <w:p w14:paraId="24B9F996"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14:paraId="0DA8C540" w14:textId="516A831E" w:rsidR="00191A23" w:rsidRPr="0022554A" w:rsidRDefault="00BE22EE" w:rsidP="00191A23">
            <w:pPr>
              <w:tabs>
                <w:tab w:val="left" w:pos="5400"/>
              </w:tabs>
              <w:rPr>
                <w:sz w:val="20"/>
                <w:lang w:eastAsia="zh-CN"/>
              </w:rPr>
            </w:pPr>
            <w:r>
              <w:rPr>
                <w:rFonts w:hint="eastAsia"/>
                <w:sz w:val="20"/>
                <w:lang w:eastAsia="zh-CN"/>
              </w:rPr>
              <w:t>P</w:t>
            </w:r>
            <w:r>
              <w:rPr>
                <w:sz w:val="20"/>
                <w:lang w:eastAsia="zh-CN"/>
              </w:rPr>
              <w:t xml:space="preserve">age </w:t>
            </w:r>
            <w:r w:rsidR="008F1CDA">
              <w:rPr>
                <w:sz w:val="20"/>
                <w:lang w:eastAsia="zh-CN"/>
              </w:rPr>
              <w:t>6-7</w:t>
            </w:r>
            <w:r>
              <w:rPr>
                <w:sz w:val="20"/>
                <w:lang w:eastAsia="zh-CN"/>
              </w:rPr>
              <w:t xml:space="preserve"> </w:t>
            </w:r>
          </w:p>
        </w:tc>
        <w:tc>
          <w:tcPr>
            <w:tcW w:w="3129" w:type="dxa"/>
          </w:tcPr>
          <w:p w14:paraId="1EA3EA9A" w14:textId="03695260" w:rsidR="00191A23" w:rsidRPr="008F1CDA" w:rsidRDefault="008F1CDA" w:rsidP="00191A23">
            <w:pPr>
              <w:tabs>
                <w:tab w:val="left" w:pos="5400"/>
              </w:tabs>
              <w:rPr>
                <w:sz w:val="20"/>
                <w:lang w:val="en-US"/>
              </w:rPr>
            </w:pPr>
            <w:r w:rsidRPr="008F1CDA">
              <w:rPr>
                <w:sz w:val="20"/>
                <w:lang w:val="en-US"/>
              </w:rPr>
              <w:t>IPI is an independent prognostic factor in ES-SCLC.</w:t>
            </w:r>
          </w:p>
        </w:tc>
      </w:tr>
      <w:tr w:rsidR="00976EE1" w:rsidRPr="0022554A" w14:paraId="1404067C" w14:textId="77777777" w:rsidTr="00191A23">
        <w:tc>
          <w:tcPr>
            <w:tcW w:w="14992" w:type="dxa"/>
            <w:gridSpan w:val="5"/>
          </w:tcPr>
          <w:p w14:paraId="71137F35"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16351FA2" w14:textId="77777777" w:rsidTr="00517788">
        <w:tc>
          <w:tcPr>
            <w:tcW w:w="0" w:type="auto"/>
          </w:tcPr>
          <w:p w14:paraId="79798667"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462628EF" w14:textId="77777777" w:rsidR="00191A23" w:rsidRPr="0022554A" w:rsidRDefault="00191A23" w:rsidP="00191A23">
            <w:pPr>
              <w:tabs>
                <w:tab w:val="left" w:pos="5400"/>
              </w:tabs>
              <w:jc w:val="center"/>
              <w:rPr>
                <w:sz w:val="20"/>
              </w:rPr>
            </w:pPr>
            <w:r w:rsidRPr="0022554A">
              <w:rPr>
                <w:sz w:val="20"/>
              </w:rPr>
              <w:t>18</w:t>
            </w:r>
          </w:p>
        </w:tc>
        <w:tc>
          <w:tcPr>
            <w:tcW w:w="8687" w:type="dxa"/>
          </w:tcPr>
          <w:p w14:paraId="40FD3B0E"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4DCF66F2" w14:textId="156DFA02" w:rsidR="00191A23" w:rsidRPr="0022554A" w:rsidRDefault="00BE22EE" w:rsidP="00191A23">
            <w:pPr>
              <w:tabs>
                <w:tab w:val="left" w:pos="5400"/>
              </w:tabs>
              <w:rPr>
                <w:sz w:val="20"/>
                <w:lang w:eastAsia="zh-CN"/>
              </w:rPr>
            </w:pPr>
            <w:r>
              <w:rPr>
                <w:rFonts w:hint="eastAsia"/>
                <w:sz w:val="20"/>
                <w:lang w:eastAsia="zh-CN"/>
              </w:rPr>
              <w:t>P</w:t>
            </w:r>
            <w:r>
              <w:rPr>
                <w:sz w:val="20"/>
                <w:lang w:eastAsia="zh-CN"/>
              </w:rPr>
              <w:t xml:space="preserve">age </w:t>
            </w:r>
            <w:r w:rsidR="008F1CDA">
              <w:rPr>
                <w:sz w:val="20"/>
                <w:lang w:eastAsia="zh-CN"/>
              </w:rPr>
              <w:t>7</w:t>
            </w:r>
            <w:r>
              <w:rPr>
                <w:sz w:val="20"/>
                <w:lang w:eastAsia="zh-CN"/>
              </w:rPr>
              <w:t xml:space="preserve"> </w:t>
            </w:r>
          </w:p>
        </w:tc>
        <w:tc>
          <w:tcPr>
            <w:tcW w:w="3129" w:type="dxa"/>
          </w:tcPr>
          <w:p w14:paraId="28AD2A1B" w14:textId="65544027" w:rsidR="00191A23" w:rsidRPr="0022554A" w:rsidRDefault="00BE22EE" w:rsidP="00191A23">
            <w:pPr>
              <w:tabs>
                <w:tab w:val="left" w:pos="5400"/>
              </w:tabs>
              <w:rPr>
                <w:sz w:val="20"/>
              </w:rPr>
            </w:pPr>
            <w:r w:rsidRPr="00BE22EE">
              <w:rPr>
                <w:sz w:val="20"/>
              </w:rPr>
              <w:t>Our study found that baseline PNI levels at admission in SAP patients were significantly lower in the in-hospital mortality group.</w:t>
            </w:r>
          </w:p>
        </w:tc>
      </w:tr>
      <w:tr w:rsidR="00191A23" w:rsidRPr="0022554A" w14:paraId="76CC76ED" w14:textId="77777777" w:rsidTr="00517788">
        <w:tc>
          <w:tcPr>
            <w:tcW w:w="0" w:type="auto"/>
          </w:tcPr>
          <w:p w14:paraId="0F0B4AD1"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3F41F9E9" w14:textId="77777777" w:rsidR="00191A23" w:rsidRPr="0022554A" w:rsidRDefault="00191A23" w:rsidP="00191A23">
            <w:pPr>
              <w:tabs>
                <w:tab w:val="left" w:pos="5400"/>
              </w:tabs>
              <w:jc w:val="center"/>
              <w:rPr>
                <w:sz w:val="20"/>
              </w:rPr>
            </w:pPr>
            <w:r w:rsidRPr="0022554A">
              <w:rPr>
                <w:sz w:val="20"/>
              </w:rPr>
              <w:t>19</w:t>
            </w:r>
          </w:p>
        </w:tc>
        <w:tc>
          <w:tcPr>
            <w:tcW w:w="8687" w:type="dxa"/>
          </w:tcPr>
          <w:p w14:paraId="611D2C25"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373372BD" w14:textId="516E5D80" w:rsidR="00191A23" w:rsidRPr="0022554A" w:rsidRDefault="00BE22EE" w:rsidP="00191A23">
            <w:pPr>
              <w:tabs>
                <w:tab w:val="left" w:pos="5400"/>
              </w:tabs>
              <w:rPr>
                <w:sz w:val="20"/>
                <w:lang w:eastAsia="zh-CN"/>
              </w:rPr>
            </w:pPr>
            <w:r>
              <w:rPr>
                <w:rFonts w:hint="eastAsia"/>
                <w:sz w:val="20"/>
                <w:lang w:eastAsia="zh-CN"/>
              </w:rPr>
              <w:t>P</w:t>
            </w:r>
            <w:r>
              <w:rPr>
                <w:sz w:val="20"/>
                <w:lang w:eastAsia="zh-CN"/>
              </w:rPr>
              <w:t xml:space="preserve">age </w:t>
            </w:r>
            <w:r w:rsidR="008F1CDA">
              <w:rPr>
                <w:sz w:val="20"/>
                <w:lang w:eastAsia="zh-CN"/>
              </w:rPr>
              <w:t>10</w:t>
            </w:r>
          </w:p>
        </w:tc>
        <w:tc>
          <w:tcPr>
            <w:tcW w:w="3129" w:type="dxa"/>
          </w:tcPr>
          <w:p w14:paraId="4BC59AB2" w14:textId="4FCC6036" w:rsidR="00191A23" w:rsidRPr="0022554A" w:rsidRDefault="008F1CDA" w:rsidP="00191A23">
            <w:pPr>
              <w:tabs>
                <w:tab w:val="left" w:pos="5400"/>
              </w:tabs>
              <w:rPr>
                <w:sz w:val="20"/>
              </w:rPr>
            </w:pPr>
            <w:r w:rsidRPr="008F1CDA">
              <w:rPr>
                <w:sz w:val="20"/>
              </w:rPr>
              <w:t>Single-center, retrospective design; male-dominated cohort; limited external validity.</w:t>
            </w:r>
          </w:p>
        </w:tc>
      </w:tr>
      <w:tr w:rsidR="00191A23" w:rsidRPr="0022554A" w14:paraId="3CA890D7" w14:textId="77777777" w:rsidTr="00517788">
        <w:tc>
          <w:tcPr>
            <w:tcW w:w="0" w:type="auto"/>
          </w:tcPr>
          <w:p w14:paraId="1CFB6141"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72CEB787" w14:textId="77777777" w:rsidR="00191A23" w:rsidRPr="0022554A" w:rsidRDefault="00191A23" w:rsidP="00191A23">
            <w:pPr>
              <w:tabs>
                <w:tab w:val="left" w:pos="5400"/>
              </w:tabs>
              <w:jc w:val="center"/>
              <w:rPr>
                <w:sz w:val="20"/>
              </w:rPr>
            </w:pPr>
            <w:r w:rsidRPr="0022554A">
              <w:rPr>
                <w:sz w:val="20"/>
              </w:rPr>
              <w:t>20</w:t>
            </w:r>
          </w:p>
        </w:tc>
        <w:tc>
          <w:tcPr>
            <w:tcW w:w="8687" w:type="dxa"/>
          </w:tcPr>
          <w:p w14:paraId="7F63A9BB"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2D735628" w14:textId="3FA358B3" w:rsidR="00191A23" w:rsidRPr="0022554A" w:rsidRDefault="00BE22EE" w:rsidP="00191A23">
            <w:pPr>
              <w:tabs>
                <w:tab w:val="left" w:pos="5400"/>
              </w:tabs>
              <w:rPr>
                <w:sz w:val="20"/>
                <w:lang w:eastAsia="zh-CN"/>
              </w:rPr>
            </w:pPr>
            <w:r>
              <w:rPr>
                <w:rFonts w:hint="eastAsia"/>
                <w:sz w:val="20"/>
                <w:lang w:eastAsia="zh-CN"/>
              </w:rPr>
              <w:t>P</w:t>
            </w:r>
            <w:r>
              <w:rPr>
                <w:sz w:val="20"/>
                <w:lang w:eastAsia="zh-CN"/>
              </w:rPr>
              <w:t xml:space="preserve">age </w:t>
            </w:r>
            <w:r w:rsidR="008F1CDA">
              <w:rPr>
                <w:sz w:val="20"/>
                <w:lang w:eastAsia="zh-CN"/>
              </w:rPr>
              <w:t>10</w:t>
            </w:r>
            <w:r>
              <w:rPr>
                <w:sz w:val="20"/>
                <w:lang w:eastAsia="zh-CN"/>
              </w:rPr>
              <w:t xml:space="preserve"> </w:t>
            </w:r>
          </w:p>
        </w:tc>
        <w:tc>
          <w:tcPr>
            <w:tcW w:w="3129" w:type="dxa"/>
          </w:tcPr>
          <w:p w14:paraId="3CBD13AC" w14:textId="60606282" w:rsidR="00191A23" w:rsidRPr="0022554A" w:rsidRDefault="008F1CDA" w:rsidP="00191A23">
            <w:pPr>
              <w:tabs>
                <w:tab w:val="left" w:pos="5400"/>
              </w:tabs>
              <w:rPr>
                <w:sz w:val="20"/>
              </w:rPr>
            </w:pPr>
            <w:r w:rsidRPr="008F1CDA">
              <w:rPr>
                <w:sz w:val="20"/>
              </w:rPr>
              <w:t>IPI is a cost-effective, accessible prognostic index. Larger multicenter validation studies needed.</w:t>
            </w:r>
          </w:p>
        </w:tc>
      </w:tr>
      <w:tr w:rsidR="00191A23" w:rsidRPr="0022554A" w14:paraId="07A602F9" w14:textId="77777777" w:rsidTr="00517788">
        <w:tc>
          <w:tcPr>
            <w:tcW w:w="0" w:type="auto"/>
          </w:tcPr>
          <w:p w14:paraId="29C95C67"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2CEA9C28" w14:textId="77777777" w:rsidR="00191A23" w:rsidRPr="0022554A" w:rsidRDefault="00191A23" w:rsidP="00191A23">
            <w:pPr>
              <w:tabs>
                <w:tab w:val="left" w:pos="5400"/>
              </w:tabs>
              <w:jc w:val="center"/>
              <w:rPr>
                <w:sz w:val="20"/>
              </w:rPr>
            </w:pPr>
            <w:r w:rsidRPr="0022554A">
              <w:rPr>
                <w:sz w:val="20"/>
              </w:rPr>
              <w:t>21</w:t>
            </w:r>
          </w:p>
        </w:tc>
        <w:tc>
          <w:tcPr>
            <w:tcW w:w="8687" w:type="dxa"/>
          </w:tcPr>
          <w:p w14:paraId="3F7581F9"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1A080653" w14:textId="2E2E13FB" w:rsidR="00191A23" w:rsidRPr="0022554A" w:rsidRDefault="004F25C8" w:rsidP="00191A23">
            <w:pPr>
              <w:tabs>
                <w:tab w:val="left" w:pos="5400"/>
              </w:tabs>
              <w:rPr>
                <w:sz w:val="20"/>
              </w:rPr>
            </w:pPr>
            <w:r>
              <w:rPr>
                <w:rFonts w:hint="eastAsia"/>
                <w:sz w:val="20"/>
                <w:lang w:eastAsia="zh-CN"/>
              </w:rPr>
              <w:t>P</w:t>
            </w:r>
            <w:r>
              <w:rPr>
                <w:sz w:val="20"/>
                <w:lang w:eastAsia="zh-CN"/>
              </w:rPr>
              <w:t xml:space="preserve">age </w:t>
            </w:r>
            <w:r w:rsidR="008F1CDA">
              <w:rPr>
                <w:sz w:val="20"/>
                <w:lang w:eastAsia="zh-CN"/>
              </w:rPr>
              <w:t>10</w:t>
            </w:r>
            <w:r>
              <w:rPr>
                <w:sz w:val="20"/>
                <w:lang w:eastAsia="zh-CN"/>
              </w:rPr>
              <w:t xml:space="preserve"> </w:t>
            </w:r>
          </w:p>
        </w:tc>
        <w:tc>
          <w:tcPr>
            <w:tcW w:w="3129" w:type="dxa"/>
          </w:tcPr>
          <w:p w14:paraId="40E761F6" w14:textId="596D753E" w:rsidR="00191A23" w:rsidRPr="008F1CDA" w:rsidRDefault="008F1CDA" w:rsidP="00191A23">
            <w:pPr>
              <w:tabs>
                <w:tab w:val="left" w:pos="5400"/>
              </w:tabs>
              <w:rPr>
                <w:sz w:val="20"/>
                <w:lang w:val="en-US"/>
              </w:rPr>
            </w:pPr>
            <w:r w:rsidRPr="008F1CDA">
              <w:rPr>
                <w:sz w:val="20"/>
                <w:lang w:val="en-US"/>
              </w:rPr>
              <w:t>Findings support using IPI for risk stratification in ES-SCLC, but generalizability limited by sample.</w:t>
            </w:r>
          </w:p>
        </w:tc>
      </w:tr>
      <w:tr w:rsidR="00191A23" w:rsidRPr="0022554A" w14:paraId="709D2094" w14:textId="77777777" w:rsidTr="00517788">
        <w:tc>
          <w:tcPr>
            <w:tcW w:w="1911" w:type="dxa"/>
            <w:gridSpan w:val="2"/>
          </w:tcPr>
          <w:p w14:paraId="06CCAD74"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7526E7F2" w14:textId="77777777" w:rsidR="00191A23" w:rsidRPr="0022554A" w:rsidRDefault="00191A23" w:rsidP="00191A23">
            <w:pPr>
              <w:pStyle w:val="TableSubHead"/>
              <w:tabs>
                <w:tab w:val="left" w:pos="5400"/>
              </w:tabs>
              <w:rPr>
                <w:sz w:val="20"/>
              </w:rPr>
            </w:pPr>
          </w:p>
        </w:tc>
      </w:tr>
      <w:tr w:rsidR="00191A23" w:rsidRPr="0022554A" w14:paraId="4D589590" w14:textId="77777777" w:rsidTr="00517788">
        <w:tc>
          <w:tcPr>
            <w:tcW w:w="0" w:type="auto"/>
          </w:tcPr>
          <w:p w14:paraId="56F7BCBC"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79105295" w14:textId="77777777" w:rsidR="00191A23" w:rsidRPr="0022554A" w:rsidRDefault="00191A23" w:rsidP="00191A23">
            <w:pPr>
              <w:tabs>
                <w:tab w:val="left" w:pos="5400"/>
              </w:tabs>
              <w:jc w:val="center"/>
              <w:rPr>
                <w:sz w:val="20"/>
              </w:rPr>
            </w:pPr>
            <w:r w:rsidRPr="0022554A">
              <w:rPr>
                <w:sz w:val="20"/>
              </w:rPr>
              <w:t>22</w:t>
            </w:r>
          </w:p>
        </w:tc>
        <w:tc>
          <w:tcPr>
            <w:tcW w:w="8687" w:type="dxa"/>
          </w:tcPr>
          <w:p w14:paraId="023D199D"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7D0C5CB2" w14:textId="5E24A302" w:rsidR="00191A23" w:rsidRPr="0022554A" w:rsidRDefault="000C10AA" w:rsidP="00191A23">
            <w:pPr>
              <w:tabs>
                <w:tab w:val="left" w:pos="5400"/>
              </w:tabs>
              <w:rPr>
                <w:sz w:val="20"/>
                <w:lang w:eastAsia="zh-CN"/>
              </w:rPr>
            </w:pPr>
            <w:r>
              <w:rPr>
                <w:rFonts w:hint="eastAsia"/>
                <w:sz w:val="20"/>
                <w:lang w:eastAsia="zh-CN"/>
              </w:rPr>
              <w:t>P</w:t>
            </w:r>
            <w:r>
              <w:rPr>
                <w:sz w:val="20"/>
                <w:lang w:eastAsia="zh-CN"/>
              </w:rPr>
              <w:t xml:space="preserve">age </w:t>
            </w:r>
            <w:r w:rsidR="008F1CDA">
              <w:rPr>
                <w:sz w:val="20"/>
                <w:lang w:eastAsia="zh-CN"/>
              </w:rPr>
              <w:t>10</w:t>
            </w:r>
          </w:p>
        </w:tc>
        <w:tc>
          <w:tcPr>
            <w:tcW w:w="3129" w:type="dxa"/>
          </w:tcPr>
          <w:p w14:paraId="5E4D0F80" w14:textId="49956853" w:rsidR="00191A23" w:rsidRPr="0022554A" w:rsidRDefault="000C10AA" w:rsidP="00191A23">
            <w:pPr>
              <w:tabs>
                <w:tab w:val="left" w:pos="5400"/>
              </w:tabs>
              <w:rPr>
                <w:sz w:val="20"/>
                <w:lang w:eastAsia="zh-CN"/>
              </w:rPr>
            </w:pPr>
            <w:r>
              <w:rPr>
                <w:rFonts w:hint="eastAsia"/>
                <w:sz w:val="20"/>
                <w:lang w:eastAsia="zh-CN"/>
              </w:rPr>
              <w:t>N</w:t>
            </w:r>
            <w:r>
              <w:rPr>
                <w:sz w:val="20"/>
                <w:lang w:eastAsia="zh-CN"/>
              </w:rPr>
              <w:t>one</w:t>
            </w:r>
          </w:p>
        </w:tc>
      </w:tr>
      <w:bookmarkEnd w:id="94"/>
      <w:bookmarkEnd w:id="95"/>
    </w:tbl>
    <w:p w14:paraId="5A6E9D03" w14:textId="77777777" w:rsidR="002602FB" w:rsidRDefault="002602FB" w:rsidP="0022554A">
      <w:pPr>
        <w:pStyle w:val="TableNote"/>
        <w:tabs>
          <w:tab w:val="left" w:pos="5400"/>
        </w:tabs>
        <w:rPr>
          <w:bCs/>
          <w:sz w:val="20"/>
        </w:rPr>
      </w:pPr>
    </w:p>
    <w:p w14:paraId="608A64EA"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384E4345" w14:textId="77777777" w:rsidR="00AE2C57" w:rsidRDefault="00AE2C57" w:rsidP="0022554A">
      <w:pPr>
        <w:pStyle w:val="TableNote"/>
        <w:tabs>
          <w:tab w:val="left" w:pos="5400"/>
        </w:tabs>
        <w:rPr>
          <w:sz w:val="20"/>
        </w:rPr>
      </w:pPr>
    </w:p>
    <w:p w14:paraId="2D7774E0"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BDC2" w14:textId="77777777" w:rsidR="00974F08" w:rsidRDefault="00974F08">
      <w:r>
        <w:separator/>
      </w:r>
    </w:p>
  </w:endnote>
  <w:endnote w:type="continuationSeparator" w:id="0">
    <w:p w14:paraId="18100678" w14:textId="77777777" w:rsidR="00974F08" w:rsidRDefault="0097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014C" w14:textId="77777777" w:rsidR="00A13C96" w:rsidRDefault="00A13C96" w:rsidP="00A13C9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0E58F83" w14:textId="77777777" w:rsidR="00A13C96" w:rsidRDefault="00A13C96" w:rsidP="005D0CF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5422" w14:textId="77777777" w:rsidR="00A13C96" w:rsidRDefault="00A13C96" w:rsidP="007F7FA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A489B">
      <w:rPr>
        <w:rStyle w:val="SayfaNumaras"/>
        <w:noProof/>
      </w:rPr>
      <w:t>3</w:t>
    </w:r>
    <w:r>
      <w:rPr>
        <w:rStyle w:val="SayfaNumaras"/>
      </w:rPr>
      <w:fldChar w:fldCharType="end"/>
    </w:r>
  </w:p>
  <w:p w14:paraId="5A965A3E" w14:textId="77777777" w:rsidR="00A13C96" w:rsidRDefault="00A13C96" w:rsidP="005D0CF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4767" w14:textId="77777777" w:rsidR="00974F08" w:rsidRDefault="00974F08">
      <w:r>
        <w:separator/>
      </w:r>
    </w:p>
  </w:footnote>
  <w:footnote w:type="continuationSeparator" w:id="0">
    <w:p w14:paraId="3E676EAC" w14:textId="77777777" w:rsidR="00974F08" w:rsidRDefault="00974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Balk2"/>
      <w:lvlText w:val="%2."/>
      <w:lvlJc w:val="left"/>
      <w:pPr>
        <w:tabs>
          <w:tab w:val="num" w:pos="1080"/>
        </w:tabs>
        <w:ind w:left="720" w:firstLine="0"/>
      </w:pPr>
    </w:lvl>
    <w:lvl w:ilvl="2">
      <w:start w:val="1"/>
      <w:numFmt w:val="decimal"/>
      <w:pStyle w:val="Balk3"/>
      <w:lvlText w:val="%3."/>
      <w:lvlJc w:val="left"/>
      <w:pPr>
        <w:tabs>
          <w:tab w:val="num" w:pos="1800"/>
        </w:tabs>
        <w:ind w:left="1440" w:firstLine="0"/>
      </w:pPr>
    </w:lvl>
    <w:lvl w:ilvl="3">
      <w:start w:val="1"/>
      <w:numFmt w:val="lowerLetter"/>
      <w:pStyle w:val="Balk4"/>
      <w:lvlText w:val="%4)"/>
      <w:lvlJc w:val="left"/>
      <w:pPr>
        <w:tabs>
          <w:tab w:val="num" w:pos="2520"/>
        </w:tabs>
        <w:ind w:left="2160" w:firstLine="0"/>
      </w:pPr>
    </w:lvl>
    <w:lvl w:ilvl="4">
      <w:start w:val="1"/>
      <w:numFmt w:val="decimal"/>
      <w:pStyle w:val="Balk5"/>
      <w:lvlText w:val="(%5)"/>
      <w:lvlJc w:val="left"/>
      <w:pPr>
        <w:tabs>
          <w:tab w:val="num" w:pos="3240"/>
        </w:tabs>
        <w:ind w:left="2880" w:firstLine="0"/>
      </w:pPr>
    </w:lvl>
    <w:lvl w:ilvl="5">
      <w:start w:val="1"/>
      <w:numFmt w:val="lowerLetter"/>
      <w:pStyle w:val="Balk6"/>
      <w:lvlText w:val="(%6)"/>
      <w:lvlJc w:val="left"/>
      <w:pPr>
        <w:tabs>
          <w:tab w:val="num" w:pos="3960"/>
        </w:tabs>
        <w:ind w:left="3600" w:firstLine="0"/>
      </w:pPr>
    </w:lvl>
    <w:lvl w:ilvl="6">
      <w:start w:val="1"/>
      <w:numFmt w:val="lowerRoman"/>
      <w:pStyle w:val="Balk7"/>
      <w:lvlText w:val="(%7)"/>
      <w:lvlJc w:val="left"/>
      <w:pPr>
        <w:tabs>
          <w:tab w:val="num" w:pos="4680"/>
        </w:tabs>
        <w:ind w:left="4320" w:firstLine="0"/>
      </w:pPr>
    </w:lvl>
    <w:lvl w:ilvl="7">
      <w:start w:val="1"/>
      <w:numFmt w:val="lowerLetter"/>
      <w:pStyle w:val="Balk8"/>
      <w:lvlText w:val="(%8)"/>
      <w:lvlJc w:val="left"/>
      <w:pPr>
        <w:tabs>
          <w:tab w:val="num" w:pos="5400"/>
        </w:tabs>
        <w:ind w:left="5040" w:firstLine="0"/>
      </w:pPr>
    </w:lvl>
    <w:lvl w:ilvl="8">
      <w:start w:val="1"/>
      <w:numFmt w:val="lowerRoman"/>
      <w:pStyle w:val="Balk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400789467">
    <w:abstractNumId w:val="20"/>
  </w:num>
  <w:num w:numId="2" w16cid:durableId="1080446288">
    <w:abstractNumId w:val="11"/>
  </w:num>
  <w:num w:numId="3" w16cid:durableId="1749646217">
    <w:abstractNumId w:val="18"/>
  </w:num>
  <w:num w:numId="4" w16cid:durableId="1690712564">
    <w:abstractNumId w:val="16"/>
  </w:num>
  <w:num w:numId="5" w16cid:durableId="1670018150">
    <w:abstractNumId w:val="15"/>
  </w:num>
  <w:num w:numId="6" w16cid:durableId="353267850">
    <w:abstractNumId w:val="19"/>
  </w:num>
  <w:num w:numId="7" w16cid:durableId="1640264116">
    <w:abstractNumId w:val="10"/>
  </w:num>
  <w:num w:numId="8" w16cid:durableId="280848204">
    <w:abstractNumId w:val="13"/>
  </w:num>
  <w:num w:numId="9" w16cid:durableId="199780622">
    <w:abstractNumId w:val="9"/>
  </w:num>
  <w:num w:numId="10" w16cid:durableId="1945914454">
    <w:abstractNumId w:val="14"/>
  </w:num>
  <w:num w:numId="11" w16cid:durableId="2141726535">
    <w:abstractNumId w:val="7"/>
  </w:num>
  <w:num w:numId="12" w16cid:durableId="291717567">
    <w:abstractNumId w:val="6"/>
  </w:num>
  <w:num w:numId="13" w16cid:durableId="543952232">
    <w:abstractNumId w:val="5"/>
  </w:num>
  <w:num w:numId="14" w16cid:durableId="222567388">
    <w:abstractNumId w:val="4"/>
  </w:num>
  <w:num w:numId="15" w16cid:durableId="219292499">
    <w:abstractNumId w:val="8"/>
  </w:num>
  <w:num w:numId="16" w16cid:durableId="286202634">
    <w:abstractNumId w:val="3"/>
  </w:num>
  <w:num w:numId="17" w16cid:durableId="175537027">
    <w:abstractNumId w:val="2"/>
  </w:num>
  <w:num w:numId="18" w16cid:durableId="1460538331">
    <w:abstractNumId w:val="1"/>
  </w:num>
  <w:num w:numId="19" w16cid:durableId="178007956">
    <w:abstractNumId w:val="0"/>
  </w:num>
  <w:num w:numId="20" w16cid:durableId="507017866">
    <w:abstractNumId w:val="12"/>
  </w:num>
  <w:num w:numId="21" w16cid:durableId="6397255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4F36EA9A-5BAA-4DFA-80D1-6D2227D9716D}"/>
    <w:docVar w:name="KY_MEDREF_VERSION" w:val="3"/>
  </w:docVars>
  <w:rsids>
    <w:rsidRoot w:val="002D1ABE"/>
    <w:rsid w:val="00002974"/>
    <w:rsid w:val="00005F0F"/>
    <w:rsid w:val="00023515"/>
    <w:rsid w:val="00093E3A"/>
    <w:rsid w:val="000B6FD4"/>
    <w:rsid w:val="000B71B3"/>
    <w:rsid w:val="000C10AA"/>
    <w:rsid w:val="000E3193"/>
    <w:rsid w:val="000E691B"/>
    <w:rsid w:val="000F26ED"/>
    <w:rsid w:val="00110BFB"/>
    <w:rsid w:val="00134AAC"/>
    <w:rsid w:val="00177E03"/>
    <w:rsid w:val="00191A23"/>
    <w:rsid w:val="001A495C"/>
    <w:rsid w:val="001A75E9"/>
    <w:rsid w:val="001E02AD"/>
    <w:rsid w:val="001E1747"/>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4F25C8"/>
    <w:rsid w:val="005044A6"/>
    <w:rsid w:val="00517788"/>
    <w:rsid w:val="0058675E"/>
    <w:rsid w:val="00590F64"/>
    <w:rsid w:val="005923E5"/>
    <w:rsid w:val="005B567D"/>
    <w:rsid w:val="005C5D1D"/>
    <w:rsid w:val="005D0CFC"/>
    <w:rsid w:val="005D19F4"/>
    <w:rsid w:val="005F254A"/>
    <w:rsid w:val="006149D3"/>
    <w:rsid w:val="006435FF"/>
    <w:rsid w:val="00654866"/>
    <w:rsid w:val="0065657F"/>
    <w:rsid w:val="00666336"/>
    <w:rsid w:val="00683E42"/>
    <w:rsid w:val="006A2F18"/>
    <w:rsid w:val="006A5DD9"/>
    <w:rsid w:val="006B2915"/>
    <w:rsid w:val="006B56D7"/>
    <w:rsid w:val="006C0B63"/>
    <w:rsid w:val="006C7601"/>
    <w:rsid w:val="006D16AA"/>
    <w:rsid w:val="006F66AC"/>
    <w:rsid w:val="00701AC5"/>
    <w:rsid w:val="00711D81"/>
    <w:rsid w:val="00736B2E"/>
    <w:rsid w:val="0074576C"/>
    <w:rsid w:val="00754BA5"/>
    <w:rsid w:val="007562C3"/>
    <w:rsid w:val="007C72F6"/>
    <w:rsid w:val="007F7FA0"/>
    <w:rsid w:val="00816966"/>
    <w:rsid w:val="00817D26"/>
    <w:rsid w:val="00821CD4"/>
    <w:rsid w:val="008423A7"/>
    <w:rsid w:val="008440CC"/>
    <w:rsid w:val="00845DB4"/>
    <w:rsid w:val="00852240"/>
    <w:rsid w:val="00864536"/>
    <w:rsid w:val="0089107E"/>
    <w:rsid w:val="00891604"/>
    <w:rsid w:val="008D225B"/>
    <w:rsid w:val="008F1CDA"/>
    <w:rsid w:val="008F7C38"/>
    <w:rsid w:val="00921BF8"/>
    <w:rsid w:val="009222BB"/>
    <w:rsid w:val="009367F9"/>
    <w:rsid w:val="00942A7F"/>
    <w:rsid w:val="009642BE"/>
    <w:rsid w:val="00974F08"/>
    <w:rsid w:val="00976EE1"/>
    <w:rsid w:val="009872CC"/>
    <w:rsid w:val="009B10F1"/>
    <w:rsid w:val="009B368D"/>
    <w:rsid w:val="009C24D4"/>
    <w:rsid w:val="009E0429"/>
    <w:rsid w:val="009F5211"/>
    <w:rsid w:val="00A010B5"/>
    <w:rsid w:val="00A13C96"/>
    <w:rsid w:val="00A22E0A"/>
    <w:rsid w:val="00A42352"/>
    <w:rsid w:val="00A527E4"/>
    <w:rsid w:val="00A5640D"/>
    <w:rsid w:val="00A729D6"/>
    <w:rsid w:val="00A938BF"/>
    <w:rsid w:val="00AA5769"/>
    <w:rsid w:val="00AB7BC4"/>
    <w:rsid w:val="00AE23EB"/>
    <w:rsid w:val="00AE2C57"/>
    <w:rsid w:val="00AF4615"/>
    <w:rsid w:val="00B0503D"/>
    <w:rsid w:val="00B50DF8"/>
    <w:rsid w:val="00B54EA0"/>
    <w:rsid w:val="00B60EFB"/>
    <w:rsid w:val="00B65366"/>
    <w:rsid w:val="00B77807"/>
    <w:rsid w:val="00B940E9"/>
    <w:rsid w:val="00BA1206"/>
    <w:rsid w:val="00BC2E5A"/>
    <w:rsid w:val="00BC7FE6"/>
    <w:rsid w:val="00BE22EE"/>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EC61A4"/>
    <w:rsid w:val="00F0349E"/>
    <w:rsid w:val="00F0752A"/>
    <w:rsid w:val="00F07903"/>
    <w:rsid w:val="00F378D0"/>
    <w:rsid w:val="00F465AB"/>
    <w:rsid w:val="00F56C39"/>
    <w:rsid w:val="00F61EAA"/>
    <w:rsid w:val="00F76A7F"/>
    <w:rsid w:val="00F838E1"/>
    <w:rsid w:val="00F842DC"/>
    <w:rsid w:val="00F876FF"/>
    <w:rsid w:val="00F93A89"/>
    <w:rsid w:val="00F970FA"/>
    <w:rsid w:val="00FA2721"/>
    <w:rsid w:val="00FA3D11"/>
    <w:rsid w:val="00FE28D2"/>
    <w:rsid w:val="00FF661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2C1F746"/>
  <w15:docId w15:val="{9AF1279E-67BB-4B95-8BFD-13A5F855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Balk1">
    <w:name w:val="heading 1"/>
    <w:basedOn w:val="Normal"/>
    <w:next w:val="Normal"/>
    <w:qFormat/>
    <w:rsid w:val="000B6FD4"/>
    <w:pPr>
      <w:keepNext/>
      <w:spacing w:before="240" w:after="60"/>
      <w:outlineLvl w:val="0"/>
    </w:pPr>
    <w:rPr>
      <w:rFonts w:ascii="Arial" w:hAnsi="Arial"/>
      <w:b/>
      <w:bCs/>
      <w:kern w:val="32"/>
      <w:sz w:val="32"/>
      <w:szCs w:val="32"/>
    </w:rPr>
  </w:style>
  <w:style w:type="paragraph" w:styleId="Balk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Balk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Balk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Balk5">
    <w:name w:val="heading 5"/>
    <w:basedOn w:val="Normal"/>
    <w:next w:val="Normal"/>
    <w:qFormat/>
    <w:rsid w:val="000B6FD4"/>
    <w:pPr>
      <w:numPr>
        <w:ilvl w:val="4"/>
        <w:numId w:val="5"/>
      </w:numPr>
      <w:spacing w:before="240" w:after="60" w:line="240" w:lineRule="auto"/>
      <w:outlineLvl w:val="4"/>
    </w:pPr>
    <w:rPr>
      <w:sz w:val="22"/>
    </w:rPr>
  </w:style>
  <w:style w:type="paragraph" w:styleId="Balk6">
    <w:name w:val="heading 6"/>
    <w:basedOn w:val="Normal"/>
    <w:next w:val="Normal"/>
    <w:qFormat/>
    <w:rsid w:val="000B6FD4"/>
    <w:pPr>
      <w:numPr>
        <w:ilvl w:val="5"/>
        <w:numId w:val="5"/>
      </w:numPr>
      <w:spacing w:before="240" w:after="60" w:line="240" w:lineRule="auto"/>
      <w:outlineLvl w:val="5"/>
    </w:pPr>
    <w:rPr>
      <w:i/>
      <w:sz w:val="22"/>
    </w:rPr>
  </w:style>
  <w:style w:type="paragraph" w:styleId="Balk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Balk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Balk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0B6FD4"/>
    <w:pPr>
      <w:spacing w:after="120"/>
      <w:ind w:left="283"/>
    </w:pPr>
  </w:style>
  <w:style w:type="paragraph" w:styleId="BalonMetni">
    <w:name w:val="Balloon Text"/>
    <w:basedOn w:val="Normal"/>
    <w:semiHidden/>
    <w:rsid w:val="008D225B"/>
    <w:rPr>
      <w:rFonts w:ascii="Tahoma" w:hAnsi="Tahoma" w:cs="Tahoma"/>
      <w:sz w:val="16"/>
      <w:szCs w:val="16"/>
    </w:rPr>
  </w:style>
  <w:style w:type="paragraph" w:styleId="AltBilgi">
    <w:name w:val="footer"/>
    <w:basedOn w:val="Normal"/>
    <w:rsid w:val="000B6FD4"/>
    <w:pPr>
      <w:tabs>
        <w:tab w:val="center" w:pos="4153"/>
        <w:tab w:val="right" w:pos="8306"/>
      </w:tabs>
      <w:spacing w:line="240" w:lineRule="auto"/>
    </w:pPr>
    <w:rPr>
      <w:rFonts w:ascii="Arial" w:hAnsi="Arial"/>
      <w:sz w:val="20"/>
    </w:rPr>
  </w:style>
  <w:style w:type="character" w:styleId="SayfaNumaras">
    <w:name w:val="page number"/>
    <w:basedOn w:val="VarsaylanParagrafYazTipi"/>
    <w:rsid w:val="000B6FD4"/>
  </w:style>
  <w:style w:type="paragraph" w:styleId="stBilgi">
    <w:name w:val="header"/>
    <w:basedOn w:val="Normal"/>
    <w:rsid w:val="000B6FD4"/>
    <w:pPr>
      <w:tabs>
        <w:tab w:val="center" w:pos="4153"/>
        <w:tab w:val="right" w:pos="8306"/>
      </w:tabs>
      <w:spacing w:line="240" w:lineRule="auto"/>
    </w:pPr>
    <w:rPr>
      <w:sz w:val="18"/>
    </w:rPr>
  </w:style>
  <w:style w:type="paragraph" w:styleId="DipnotMetni">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DzMetin">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ResimYazs">
    <w:name w:val="caption"/>
    <w:basedOn w:val="Normal"/>
    <w:next w:val="Normal"/>
    <w:qFormat/>
    <w:rsid w:val="000B6FD4"/>
    <w:pPr>
      <w:spacing w:before="120" w:after="120" w:line="240" w:lineRule="auto"/>
    </w:pPr>
    <w:rPr>
      <w:b/>
      <w:sz w:val="20"/>
    </w:rPr>
  </w:style>
  <w:style w:type="paragraph" w:styleId="AklamaMetni">
    <w:name w:val="annotation text"/>
    <w:basedOn w:val="Normal"/>
    <w:semiHidden/>
    <w:rsid w:val="000B6FD4"/>
    <w:pPr>
      <w:spacing w:line="240" w:lineRule="auto"/>
    </w:pPr>
    <w:rPr>
      <w:sz w:val="20"/>
    </w:rPr>
  </w:style>
  <w:style w:type="paragraph" w:styleId="bekMetni">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ResimYazs"/>
    <w:rsid w:val="000B6FD4"/>
    <w:rPr>
      <w:sz w:val="18"/>
    </w:rPr>
  </w:style>
  <w:style w:type="paragraph" w:styleId="Tarih">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GvdeMetni">
    <w:name w:val="Body Text"/>
    <w:basedOn w:val="Normal"/>
    <w:rsid w:val="000B6FD4"/>
    <w:pPr>
      <w:spacing w:after="120"/>
    </w:pPr>
  </w:style>
  <w:style w:type="character" w:styleId="SonNotBavurusu">
    <w:name w:val="endnote reference"/>
    <w:basedOn w:val="VarsaylanParagrafYazTipi"/>
    <w:semiHidden/>
    <w:rsid w:val="000B6FD4"/>
    <w:rPr>
      <w:vertAlign w:val="superscript"/>
    </w:rPr>
  </w:style>
  <w:style w:type="paragraph" w:styleId="SonNotMetni">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VarsaylanParagrafYazTipi"/>
    <w:rsid w:val="000B6FD4"/>
    <w:rPr>
      <w:color w:val="0000FF"/>
      <w:vertAlign w:val="superscript"/>
    </w:rPr>
  </w:style>
  <w:style w:type="character" w:customStyle="1" w:styleId="FnoteRef">
    <w:name w:val="FnoteRef"/>
    <w:basedOn w:val="VarsaylanParagrafYazTipi"/>
    <w:rsid w:val="000B6FD4"/>
    <w:rPr>
      <w:color w:val="FF0000"/>
      <w:vertAlign w:val="superscript"/>
    </w:rPr>
  </w:style>
  <w:style w:type="paragraph" w:customStyle="1" w:styleId="Footnote">
    <w:name w:val="Footnote"/>
    <w:basedOn w:val="Normal"/>
    <w:rsid w:val="000B6FD4"/>
    <w:pPr>
      <w:spacing w:line="240" w:lineRule="auto"/>
    </w:pPr>
  </w:style>
  <w:style w:type="character" w:styleId="DipnotBavurusu">
    <w:name w:val="footnote reference"/>
    <w:basedOn w:val="VarsaylanParagrafYazTipi"/>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KonuBal"/>
    <w:next w:val="KonuBal"/>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GvdeMetni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eMaddemi">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GvdeMetni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KonuBal">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Vurgu">
    <w:name w:val="Emphasis"/>
    <w:basedOn w:val="VarsaylanParagrafYazTipi"/>
    <w:qFormat/>
    <w:rsid w:val="000B6FD4"/>
    <w:rPr>
      <w:i/>
      <w:iCs/>
    </w:rPr>
  </w:style>
  <w:style w:type="paragraph" w:customStyle="1" w:styleId="GroupAuthor">
    <w:name w:val="GroupAuthor"/>
    <w:basedOn w:val="Author"/>
    <w:rsid w:val="000B6FD4"/>
    <w:rPr>
      <w:b/>
      <w:i/>
    </w:rPr>
  </w:style>
  <w:style w:type="character" w:styleId="AklamaBavurusu">
    <w:name w:val="annotation reference"/>
    <w:basedOn w:val="VarsaylanParagrafYazTipi"/>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GvdeMetnilkGirintisi">
    <w:name w:val="Body Text First Indent"/>
    <w:basedOn w:val="GvdeMetni"/>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elamlama">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ltyaz">
    <w:name w:val="Subtitle"/>
    <w:basedOn w:val="Normal"/>
    <w:qFormat/>
    <w:rsid w:val="000B6FD4"/>
    <w:pPr>
      <w:spacing w:after="60"/>
      <w:outlineLvl w:val="1"/>
    </w:pPr>
    <w:rPr>
      <w:i/>
    </w:rPr>
  </w:style>
  <w:style w:type="paragraph" w:customStyle="1" w:styleId="Subtitle1">
    <w:name w:val="Subtitle1"/>
    <w:basedOn w:val="Altyaz"/>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VarsaylanParagrafYazTipi"/>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VarsaylanParagrafYazTipi"/>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VarsaylanParagrafYazTipi"/>
    <w:rsid w:val="000B6FD4"/>
    <w:rPr>
      <w:color w:val="0000FF"/>
      <w:vertAlign w:val="superscript"/>
    </w:rPr>
  </w:style>
  <w:style w:type="paragraph" w:styleId="GvdeMetnilkGirintisi2">
    <w:name w:val="Body Text First Indent 2"/>
    <w:basedOn w:val="GvdeMetniGirintisi"/>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GvdeMetniGirintisi2">
    <w:name w:val="Body Text Indent 2"/>
    <w:basedOn w:val="Normal"/>
    <w:rsid w:val="000B6FD4"/>
    <w:pPr>
      <w:spacing w:after="120" w:line="480" w:lineRule="auto"/>
      <w:ind w:left="283"/>
    </w:pPr>
  </w:style>
  <w:style w:type="paragraph" w:styleId="GvdeMetniGirintisi3">
    <w:name w:val="Body Text Indent 3"/>
    <w:basedOn w:val="Normal"/>
    <w:rsid w:val="000B6FD4"/>
    <w:pPr>
      <w:spacing w:after="120"/>
      <w:ind w:left="283"/>
    </w:pPr>
    <w:rPr>
      <w:sz w:val="16"/>
      <w:szCs w:val="16"/>
    </w:rPr>
  </w:style>
  <w:style w:type="paragraph" w:styleId="Kapan">
    <w:name w:val="Closing"/>
    <w:basedOn w:val="Normal"/>
    <w:rsid w:val="000B6FD4"/>
    <w:pPr>
      <w:ind w:left="4252"/>
    </w:pPr>
  </w:style>
  <w:style w:type="paragraph" w:styleId="BelgeBalantlar">
    <w:name w:val="Document Map"/>
    <w:basedOn w:val="Normal"/>
    <w:semiHidden/>
    <w:rsid w:val="000B6FD4"/>
    <w:pPr>
      <w:shd w:val="clear" w:color="auto" w:fill="000080"/>
    </w:pPr>
    <w:rPr>
      <w:rFonts w:ascii="Tahoma" w:hAnsi="Tahoma" w:cs="Tahoma"/>
    </w:rPr>
  </w:style>
  <w:style w:type="paragraph" w:styleId="E-postamzas">
    <w:name w:val="E-mail Signature"/>
    <w:basedOn w:val="Normal"/>
    <w:rsid w:val="000B6FD4"/>
  </w:style>
  <w:style w:type="paragraph" w:styleId="MektupAdresi">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ZarfDn">
    <w:name w:val="envelope return"/>
    <w:basedOn w:val="Normal"/>
    <w:rsid w:val="000B6FD4"/>
    <w:rPr>
      <w:rFonts w:ascii="Arial" w:hAnsi="Arial"/>
      <w:sz w:val="20"/>
    </w:rPr>
  </w:style>
  <w:style w:type="character" w:styleId="zlenenKpr">
    <w:name w:val="FollowedHyperlink"/>
    <w:basedOn w:val="VarsaylanParagrafYazTipi"/>
    <w:rsid w:val="000B6FD4"/>
    <w:rPr>
      <w:color w:val="800080"/>
      <w:u w:val="single"/>
    </w:rPr>
  </w:style>
  <w:style w:type="character" w:styleId="HTMLKsaltmas">
    <w:name w:val="HTML Acronym"/>
    <w:basedOn w:val="VarsaylanParagrafYazTipi"/>
    <w:rsid w:val="000B6FD4"/>
  </w:style>
  <w:style w:type="paragraph" w:styleId="HTMLAdresi">
    <w:name w:val="HTML Address"/>
    <w:basedOn w:val="Normal"/>
    <w:rsid w:val="000B6FD4"/>
    <w:rPr>
      <w:i/>
      <w:iCs/>
    </w:rPr>
  </w:style>
  <w:style w:type="character" w:styleId="HTMLCite">
    <w:name w:val="HTML Cite"/>
    <w:basedOn w:val="VarsaylanParagrafYazTipi"/>
    <w:rsid w:val="000B6FD4"/>
    <w:rPr>
      <w:i/>
      <w:iCs/>
    </w:rPr>
  </w:style>
  <w:style w:type="character" w:styleId="HTMLKodu">
    <w:name w:val="HTML Code"/>
    <w:basedOn w:val="VarsaylanParagrafYazTipi"/>
    <w:rsid w:val="000B6FD4"/>
    <w:rPr>
      <w:rFonts w:ascii="Courier New" w:hAnsi="Courier New"/>
      <w:sz w:val="20"/>
      <w:szCs w:val="20"/>
    </w:rPr>
  </w:style>
  <w:style w:type="character" w:styleId="HTMLTanm">
    <w:name w:val="HTML Definition"/>
    <w:basedOn w:val="VarsaylanParagrafYazTipi"/>
    <w:rsid w:val="000B6FD4"/>
    <w:rPr>
      <w:i/>
      <w:iCs/>
    </w:rPr>
  </w:style>
  <w:style w:type="character" w:styleId="HTMLKlavye">
    <w:name w:val="HTML Keyboard"/>
    <w:basedOn w:val="VarsaylanParagrafYazTipi"/>
    <w:rsid w:val="000B6FD4"/>
    <w:rPr>
      <w:rFonts w:ascii="Courier New" w:hAnsi="Courier New"/>
      <w:sz w:val="20"/>
      <w:szCs w:val="20"/>
    </w:rPr>
  </w:style>
  <w:style w:type="paragraph" w:styleId="HTMLncedenBiimlendirilmi">
    <w:name w:val="HTML Preformatted"/>
    <w:basedOn w:val="Normal"/>
    <w:rsid w:val="000B6FD4"/>
    <w:rPr>
      <w:rFonts w:ascii="Courier New" w:hAnsi="Courier New"/>
      <w:sz w:val="20"/>
    </w:rPr>
  </w:style>
  <w:style w:type="character" w:styleId="HTMLrnek">
    <w:name w:val="HTML Sample"/>
    <w:basedOn w:val="VarsaylanParagrafYazTipi"/>
    <w:rsid w:val="000B6FD4"/>
    <w:rPr>
      <w:rFonts w:ascii="Courier New" w:hAnsi="Courier New"/>
    </w:rPr>
  </w:style>
  <w:style w:type="character" w:styleId="HTMLDaktilo">
    <w:name w:val="HTML Typewriter"/>
    <w:basedOn w:val="VarsaylanParagrafYazTipi"/>
    <w:rsid w:val="000B6FD4"/>
    <w:rPr>
      <w:rFonts w:ascii="Courier New" w:hAnsi="Courier New"/>
      <w:sz w:val="20"/>
      <w:szCs w:val="20"/>
    </w:rPr>
  </w:style>
  <w:style w:type="character" w:styleId="HTMLDeiken">
    <w:name w:val="HTML Variable"/>
    <w:basedOn w:val="VarsaylanParagrafYazTipi"/>
    <w:rsid w:val="000B6FD4"/>
    <w:rPr>
      <w:i/>
      <w:iCs/>
    </w:rPr>
  </w:style>
  <w:style w:type="character" w:styleId="Kpr">
    <w:name w:val="Hyperlink"/>
    <w:basedOn w:val="VarsaylanParagrafYazTipi"/>
    <w:rsid w:val="000B6FD4"/>
    <w:rPr>
      <w:color w:val="0000FF"/>
      <w:u w:val="single"/>
    </w:rPr>
  </w:style>
  <w:style w:type="paragraph" w:styleId="Dizin1">
    <w:name w:val="index 1"/>
    <w:basedOn w:val="Normal"/>
    <w:next w:val="Normal"/>
    <w:autoRedefine/>
    <w:semiHidden/>
    <w:rsid w:val="000B6FD4"/>
    <w:pPr>
      <w:ind w:left="240" w:hanging="240"/>
    </w:pPr>
  </w:style>
  <w:style w:type="paragraph" w:styleId="Dizin2">
    <w:name w:val="index 2"/>
    <w:basedOn w:val="Normal"/>
    <w:next w:val="Normal"/>
    <w:autoRedefine/>
    <w:semiHidden/>
    <w:rsid w:val="000B6FD4"/>
    <w:pPr>
      <w:ind w:left="480" w:hanging="240"/>
    </w:pPr>
  </w:style>
  <w:style w:type="paragraph" w:styleId="Dizin3">
    <w:name w:val="index 3"/>
    <w:basedOn w:val="Normal"/>
    <w:next w:val="Normal"/>
    <w:autoRedefine/>
    <w:semiHidden/>
    <w:rsid w:val="000B6FD4"/>
    <w:pPr>
      <w:ind w:left="720" w:hanging="240"/>
    </w:pPr>
  </w:style>
  <w:style w:type="paragraph" w:styleId="Dizin4">
    <w:name w:val="index 4"/>
    <w:basedOn w:val="Normal"/>
    <w:next w:val="Normal"/>
    <w:autoRedefine/>
    <w:semiHidden/>
    <w:rsid w:val="000B6FD4"/>
    <w:pPr>
      <w:ind w:left="960" w:hanging="240"/>
    </w:pPr>
  </w:style>
  <w:style w:type="paragraph" w:styleId="Dizin5">
    <w:name w:val="index 5"/>
    <w:basedOn w:val="Normal"/>
    <w:next w:val="Normal"/>
    <w:autoRedefine/>
    <w:semiHidden/>
    <w:rsid w:val="000B6FD4"/>
    <w:pPr>
      <w:ind w:left="1200" w:hanging="240"/>
    </w:pPr>
  </w:style>
  <w:style w:type="paragraph" w:styleId="Dizin6">
    <w:name w:val="index 6"/>
    <w:basedOn w:val="Normal"/>
    <w:next w:val="Normal"/>
    <w:autoRedefine/>
    <w:semiHidden/>
    <w:rsid w:val="000B6FD4"/>
    <w:pPr>
      <w:ind w:left="1440" w:hanging="240"/>
    </w:pPr>
  </w:style>
  <w:style w:type="paragraph" w:styleId="Dizin7">
    <w:name w:val="index 7"/>
    <w:basedOn w:val="Normal"/>
    <w:next w:val="Normal"/>
    <w:autoRedefine/>
    <w:semiHidden/>
    <w:rsid w:val="000B6FD4"/>
    <w:pPr>
      <w:ind w:left="1680" w:hanging="240"/>
    </w:pPr>
  </w:style>
  <w:style w:type="paragraph" w:styleId="Dizin8">
    <w:name w:val="index 8"/>
    <w:basedOn w:val="Normal"/>
    <w:next w:val="Normal"/>
    <w:autoRedefine/>
    <w:semiHidden/>
    <w:rsid w:val="000B6FD4"/>
    <w:pPr>
      <w:ind w:left="1920" w:hanging="240"/>
    </w:pPr>
  </w:style>
  <w:style w:type="paragraph" w:styleId="Dizin9">
    <w:name w:val="index 9"/>
    <w:basedOn w:val="Normal"/>
    <w:next w:val="Normal"/>
    <w:autoRedefine/>
    <w:semiHidden/>
    <w:rsid w:val="000B6FD4"/>
    <w:pPr>
      <w:ind w:left="2160" w:hanging="240"/>
    </w:pPr>
  </w:style>
  <w:style w:type="paragraph" w:styleId="DizinBal">
    <w:name w:val="index heading"/>
    <w:basedOn w:val="Normal"/>
    <w:next w:val="Dizin1"/>
    <w:semiHidden/>
    <w:rsid w:val="000B6FD4"/>
    <w:rPr>
      <w:rFonts w:ascii="Arial" w:hAnsi="Arial"/>
      <w:b/>
      <w:bCs/>
    </w:rPr>
  </w:style>
  <w:style w:type="character" w:styleId="SatrNumaras">
    <w:name w:val="line number"/>
    <w:basedOn w:val="VarsaylanParagrafYazTipi"/>
    <w:rsid w:val="000B6FD4"/>
  </w:style>
  <w:style w:type="paragraph" w:styleId="Liste">
    <w:name w:val="List"/>
    <w:basedOn w:val="Normal"/>
    <w:rsid w:val="000B6FD4"/>
    <w:pPr>
      <w:ind w:left="283" w:hanging="283"/>
    </w:pPr>
  </w:style>
  <w:style w:type="paragraph" w:styleId="Liste2">
    <w:name w:val="List 2"/>
    <w:basedOn w:val="Normal"/>
    <w:rsid w:val="000B6FD4"/>
    <w:pPr>
      <w:ind w:left="566" w:hanging="283"/>
    </w:pPr>
  </w:style>
  <w:style w:type="paragraph" w:styleId="Liste3">
    <w:name w:val="List 3"/>
    <w:basedOn w:val="Normal"/>
    <w:rsid w:val="000B6FD4"/>
    <w:pPr>
      <w:ind w:left="849" w:hanging="283"/>
    </w:pPr>
  </w:style>
  <w:style w:type="paragraph" w:styleId="Liste4">
    <w:name w:val="List 4"/>
    <w:basedOn w:val="Normal"/>
    <w:rsid w:val="000B6FD4"/>
    <w:pPr>
      <w:ind w:left="1132" w:hanging="283"/>
    </w:pPr>
  </w:style>
  <w:style w:type="paragraph" w:styleId="Liste5">
    <w:name w:val="List 5"/>
    <w:basedOn w:val="Normal"/>
    <w:rsid w:val="000B6FD4"/>
    <w:pPr>
      <w:ind w:left="1415" w:hanging="283"/>
    </w:pPr>
  </w:style>
  <w:style w:type="paragraph" w:styleId="ListeMaddemi2">
    <w:name w:val="List Bullet 2"/>
    <w:basedOn w:val="Normal"/>
    <w:autoRedefine/>
    <w:rsid w:val="000B6FD4"/>
    <w:pPr>
      <w:numPr>
        <w:numId w:val="11"/>
      </w:numPr>
    </w:pPr>
  </w:style>
  <w:style w:type="paragraph" w:styleId="ListeMaddemi3">
    <w:name w:val="List Bullet 3"/>
    <w:basedOn w:val="Normal"/>
    <w:autoRedefine/>
    <w:rsid w:val="000B6FD4"/>
    <w:pPr>
      <w:numPr>
        <w:numId w:val="12"/>
      </w:numPr>
    </w:pPr>
  </w:style>
  <w:style w:type="paragraph" w:styleId="ListeMaddemi4">
    <w:name w:val="List Bullet 4"/>
    <w:basedOn w:val="Normal"/>
    <w:autoRedefine/>
    <w:rsid w:val="000B6FD4"/>
    <w:pPr>
      <w:numPr>
        <w:numId w:val="13"/>
      </w:numPr>
    </w:pPr>
  </w:style>
  <w:style w:type="paragraph" w:styleId="ListeMaddemi5">
    <w:name w:val="List Bullet 5"/>
    <w:basedOn w:val="Normal"/>
    <w:autoRedefine/>
    <w:rsid w:val="000B6FD4"/>
    <w:pPr>
      <w:numPr>
        <w:numId w:val="14"/>
      </w:numPr>
    </w:pPr>
  </w:style>
  <w:style w:type="paragraph" w:styleId="ListeDevam">
    <w:name w:val="List Continue"/>
    <w:basedOn w:val="Normal"/>
    <w:rsid w:val="000B6FD4"/>
    <w:pPr>
      <w:spacing w:after="120"/>
      <w:ind w:left="283"/>
    </w:pPr>
  </w:style>
  <w:style w:type="paragraph" w:styleId="ListeDevam2">
    <w:name w:val="List Continue 2"/>
    <w:basedOn w:val="Normal"/>
    <w:rsid w:val="000B6FD4"/>
    <w:pPr>
      <w:spacing w:after="120"/>
      <w:ind w:left="566"/>
    </w:pPr>
  </w:style>
  <w:style w:type="paragraph" w:styleId="ListeDevam3">
    <w:name w:val="List Continue 3"/>
    <w:basedOn w:val="Normal"/>
    <w:rsid w:val="000B6FD4"/>
    <w:pPr>
      <w:spacing w:after="120"/>
      <w:ind w:left="849"/>
    </w:pPr>
  </w:style>
  <w:style w:type="paragraph" w:styleId="ListeDevam4">
    <w:name w:val="List Continue 4"/>
    <w:basedOn w:val="Normal"/>
    <w:rsid w:val="000B6FD4"/>
    <w:pPr>
      <w:spacing w:after="120"/>
      <w:ind w:left="1132"/>
    </w:pPr>
  </w:style>
  <w:style w:type="paragraph" w:styleId="ListeDevam5">
    <w:name w:val="List Continue 5"/>
    <w:basedOn w:val="Normal"/>
    <w:rsid w:val="000B6FD4"/>
    <w:pPr>
      <w:spacing w:after="120"/>
      <w:ind w:left="1415"/>
    </w:pPr>
  </w:style>
  <w:style w:type="paragraph" w:styleId="ListeNumaras">
    <w:name w:val="List Number"/>
    <w:basedOn w:val="Normal"/>
    <w:rsid w:val="000B6FD4"/>
    <w:pPr>
      <w:numPr>
        <w:numId w:val="15"/>
      </w:numPr>
    </w:pPr>
  </w:style>
  <w:style w:type="paragraph" w:styleId="ListeNumaras2">
    <w:name w:val="List Number 2"/>
    <w:basedOn w:val="Normal"/>
    <w:rsid w:val="000B6FD4"/>
    <w:pPr>
      <w:numPr>
        <w:numId w:val="16"/>
      </w:numPr>
    </w:pPr>
  </w:style>
  <w:style w:type="paragraph" w:styleId="ListeNumaras3">
    <w:name w:val="List Number 3"/>
    <w:basedOn w:val="Normal"/>
    <w:rsid w:val="000B6FD4"/>
    <w:pPr>
      <w:numPr>
        <w:numId w:val="17"/>
      </w:numPr>
    </w:pPr>
  </w:style>
  <w:style w:type="paragraph" w:styleId="ListeNumaras4">
    <w:name w:val="List Number 4"/>
    <w:basedOn w:val="Normal"/>
    <w:rsid w:val="000B6FD4"/>
    <w:pPr>
      <w:numPr>
        <w:numId w:val="18"/>
      </w:numPr>
    </w:pPr>
  </w:style>
  <w:style w:type="paragraph" w:styleId="ListeNumaras5">
    <w:name w:val="List Number 5"/>
    <w:basedOn w:val="Normal"/>
    <w:rsid w:val="000B6FD4"/>
    <w:pPr>
      <w:numPr>
        <w:numId w:val="19"/>
      </w:numPr>
    </w:pPr>
  </w:style>
  <w:style w:type="paragraph" w:styleId="MakroMetni">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letistBilgisi">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Girinti">
    <w:name w:val="Normal Indent"/>
    <w:basedOn w:val="Normal"/>
    <w:rsid w:val="000B6FD4"/>
    <w:pPr>
      <w:ind w:left="720"/>
    </w:pPr>
  </w:style>
  <w:style w:type="paragraph" w:styleId="NotBal">
    <w:name w:val="Note Heading"/>
    <w:basedOn w:val="Normal"/>
    <w:next w:val="Normal"/>
    <w:rsid w:val="000B6FD4"/>
  </w:style>
  <w:style w:type="character" w:customStyle="1" w:styleId="ParaHead">
    <w:name w:val="ParaHead"/>
    <w:basedOn w:val="VarsaylanParagrafYazTipi"/>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Kaynak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VarsaylanParagrafYazTipi"/>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Alnt">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klamaKonusu">
    <w:name w:val="annotation subject"/>
    <w:basedOn w:val="AklamaMetni"/>
    <w:next w:val="AklamaMetni"/>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1280">
      <w:bodyDiv w:val="1"/>
      <w:marLeft w:val="0"/>
      <w:marRight w:val="0"/>
      <w:marTop w:val="0"/>
      <w:marBottom w:val="0"/>
      <w:divBdr>
        <w:top w:val="none" w:sz="0" w:space="0" w:color="auto"/>
        <w:left w:val="none" w:sz="0" w:space="0" w:color="auto"/>
        <w:bottom w:val="none" w:sz="0" w:space="0" w:color="auto"/>
        <w:right w:val="none" w:sz="0" w:space="0" w:color="auto"/>
      </w:divBdr>
    </w:div>
    <w:div w:id="208418732">
      <w:bodyDiv w:val="1"/>
      <w:marLeft w:val="0"/>
      <w:marRight w:val="0"/>
      <w:marTop w:val="0"/>
      <w:marBottom w:val="0"/>
      <w:divBdr>
        <w:top w:val="none" w:sz="0" w:space="0" w:color="auto"/>
        <w:left w:val="none" w:sz="0" w:space="0" w:color="auto"/>
        <w:bottom w:val="none" w:sz="0" w:space="0" w:color="auto"/>
        <w:right w:val="none" w:sz="0" w:space="0" w:color="auto"/>
      </w:divBdr>
    </w:div>
    <w:div w:id="427695802">
      <w:bodyDiv w:val="1"/>
      <w:marLeft w:val="0"/>
      <w:marRight w:val="0"/>
      <w:marTop w:val="0"/>
      <w:marBottom w:val="0"/>
      <w:divBdr>
        <w:top w:val="none" w:sz="0" w:space="0" w:color="auto"/>
        <w:left w:val="none" w:sz="0" w:space="0" w:color="auto"/>
        <w:bottom w:val="none" w:sz="0" w:space="0" w:color="auto"/>
        <w:right w:val="none" w:sz="0" w:space="0" w:color="auto"/>
      </w:divBdr>
    </w:div>
    <w:div w:id="433331286">
      <w:bodyDiv w:val="1"/>
      <w:marLeft w:val="0"/>
      <w:marRight w:val="0"/>
      <w:marTop w:val="0"/>
      <w:marBottom w:val="0"/>
      <w:divBdr>
        <w:top w:val="none" w:sz="0" w:space="0" w:color="auto"/>
        <w:left w:val="none" w:sz="0" w:space="0" w:color="auto"/>
        <w:bottom w:val="none" w:sz="0" w:space="0" w:color="auto"/>
        <w:right w:val="none" w:sz="0" w:space="0" w:color="auto"/>
      </w:divBdr>
    </w:div>
    <w:div w:id="450131088">
      <w:bodyDiv w:val="1"/>
      <w:marLeft w:val="0"/>
      <w:marRight w:val="0"/>
      <w:marTop w:val="0"/>
      <w:marBottom w:val="0"/>
      <w:divBdr>
        <w:top w:val="none" w:sz="0" w:space="0" w:color="auto"/>
        <w:left w:val="none" w:sz="0" w:space="0" w:color="auto"/>
        <w:bottom w:val="none" w:sz="0" w:space="0" w:color="auto"/>
        <w:right w:val="none" w:sz="0" w:space="0" w:color="auto"/>
      </w:divBdr>
    </w:div>
    <w:div w:id="553933420">
      <w:bodyDiv w:val="1"/>
      <w:marLeft w:val="0"/>
      <w:marRight w:val="0"/>
      <w:marTop w:val="0"/>
      <w:marBottom w:val="0"/>
      <w:divBdr>
        <w:top w:val="none" w:sz="0" w:space="0" w:color="auto"/>
        <w:left w:val="none" w:sz="0" w:space="0" w:color="auto"/>
        <w:bottom w:val="none" w:sz="0" w:space="0" w:color="auto"/>
        <w:right w:val="none" w:sz="0" w:space="0" w:color="auto"/>
      </w:divBdr>
    </w:div>
    <w:div w:id="723257316">
      <w:bodyDiv w:val="1"/>
      <w:marLeft w:val="0"/>
      <w:marRight w:val="0"/>
      <w:marTop w:val="0"/>
      <w:marBottom w:val="0"/>
      <w:divBdr>
        <w:top w:val="none" w:sz="0" w:space="0" w:color="auto"/>
        <w:left w:val="none" w:sz="0" w:space="0" w:color="auto"/>
        <w:bottom w:val="none" w:sz="0" w:space="0" w:color="auto"/>
        <w:right w:val="none" w:sz="0" w:space="0" w:color="auto"/>
      </w:divBdr>
    </w:div>
    <w:div w:id="799570690">
      <w:bodyDiv w:val="1"/>
      <w:marLeft w:val="0"/>
      <w:marRight w:val="0"/>
      <w:marTop w:val="0"/>
      <w:marBottom w:val="0"/>
      <w:divBdr>
        <w:top w:val="none" w:sz="0" w:space="0" w:color="auto"/>
        <w:left w:val="none" w:sz="0" w:space="0" w:color="auto"/>
        <w:bottom w:val="none" w:sz="0" w:space="0" w:color="auto"/>
        <w:right w:val="none" w:sz="0" w:space="0" w:color="auto"/>
      </w:divBdr>
    </w:div>
    <w:div w:id="834030653">
      <w:bodyDiv w:val="1"/>
      <w:marLeft w:val="0"/>
      <w:marRight w:val="0"/>
      <w:marTop w:val="0"/>
      <w:marBottom w:val="0"/>
      <w:divBdr>
        <w:top w:val="none" w:sz="0" w:space="0" w:color="auto"/>
        <w:left w:val="none" w:sz="0" w:space="0" w:color="auto"/>
        <w:bottom w:val="none" w:sz="0" w:space="0" w:color="auto"/>
        <w:right w:val="none" w:sz="0" w:space="0" w:color="auto"/>
      </w:divBdr>
    </w:div>
    <w:div w:id="878128984">
      <w:bodyDiv w:val="1"/>
      <w:marLeft w:val="0"/>
      <w:marRight w:val="0"/>
      <w:marTop w:val="0"/>
      <w:marBottom w:val="0"/>
      <w:divBdr>
        <w:top w:val="none" w:sz="0" w:space="0" w:color="auto"/>
        <w:left w:val="none" w:sz="0" w:space="0" w:color="auto"/>
        <w:bottom w:val="none" w:sz="0" w:space="0" w:color="auto"/>
        <w:right w:val="none" w:sz="0" w:space="0" w:color="auto"/>
      </w:divBdr>
    </w:div>
    <w:div w:id="961620109">
      <w:bodyDiv w:val="1"/>
      <w:marLeft w:val="0"/>
      <w:marRight w:val="0"/>
      <w:marTop w:val="0"/>
      <w:marBottom w:val="0"/>
      <w:divBdr>
        <w:top w:val="none" w:sz="0" w:space="0" w:color="auto"/>
        <w:left w:val="none" w:sz="0" w:space="0" w:color="auto"/>
        <w:bottom w:val="none" w:sz="0" w:space="0" w:color="auto"/>
        <w:right w:val="none" w:sz="0" w:space="0" w:color="auto"/>
      </w:divBdr>
    </w:div>
    <w:div w:id="1025012772">
      <w:bodyDiv w:val="1"/>
      <w:marLeft w:val="0"/>
      <w:marRight w:val="0"/>
      <w:marTop w:val="0"/>
      <w:marBottom w:val="0"/>
      <w:divBdr>
        <w:top w:val="none" w:sz="0" w:space="0" w:color="auto"/>
        <w:left w:val="none" w:sz="0" w:space="0" w:color="auto"/>
        <w:bottom w:val="none" w:sz="0" w:space="0" w:color="auto"/>
        <w:right w:val="none" w:sz="0" w:space="0" w:color="auto"/>
      </w:divBdr>
    </w:div>
    <w:div w:id="1028524559">
      <w:bodyDiv w:val="1"/>
      <w:marLeft w:val="0"/>
      <w:marRight w:val="0"/>
      <w:marTop w:val="0"/>
      <w:marBottom w:val="0"/>
      <w:divBdr>
        <w:top w:val="none" w:sz="0" w:space="0" w:color="auto"/>
        <w:left w:val="none" w:sz="0" w:space="0" w:color="auto"/>
        <w:bottom w:val="none" w:sz="0" w:space="0" w:color="auto"/>
        <w:right w:val="none" w:sz="0" w:space="0" w:color="auto"/>
      </w:divBdr>
    </w:div>
    <w:div w:id="1153058131">
      <w:bodyDiv w:val="1"/>
      <w:marLeft w:val="0"/>
      <w:marRight w:val="0"/>
      <w:marTop w:val="0"/>
      <w:marBottom w:val="0"/>
      <w:divBdr>
        <w:top w:val="none" w:sz="0" w:space="0" w:color="auto"/>
        <w:left w:val="none" w:sz="0" w:space="0" w:color="auto"/>
        <w:bottom w:val="none" w:sz="0" w:space="0" w:color="auto"/>
        <w:right w:val="none" w:sz="0" w:space="0" w:color="auto"/>
      </w:divBdr>
    </w:div>
    <w:div w:id="1189877476">
      <w:bodyDiv w:val="1"/>
      <w:marLeft w:val="0"/>
      <w:marRight w:val="0"/>
      <w:marTop w:val="0"/>
      <w:marBottom w:val="0"/>
      <w:divBdr>
        <w:top w:val="none" w:sz="0" w:space="0" w:color="auto"/>
        <w:left w:val="none" w:sz="0" w:space="0" w:color="auto"/>
        <w:bottom w:val="none" w:sz="0" w:space="0" w:color="auto"/>
        <w:right w:val="none" w:sz="0" w:space="0" w:color="auto"/>
      </w:divBdr>
    </w:div>
    <w:div w:id="1199510132">
      <w:bodyDiv w:val="1"/>
      <w:marLeft w:val="0"/>
      <w:marRight w:val="0"/>
      <w:marTop w:val="0"/>
      <w:marBottom w:val="0"/>
      <w:divBdr>
        <w:top w:val="none" w:sz="0" w:space="0" w:color="auto"/>
        <w:left w:val="none" w:sz="0" w:space="0" w:color="auto"/>
        <w:bottom w:val="none" w:sz="0" w:space="0" w:color="auto"/>
        <w:right w:val="none" w:sz="0" w:space="0" w:color="auto"/>
      </w:divBdr>
    </w:div>
    <w:div w:id="1403869838">
      <w:bodyDiv w:val="1"/>
      <w:marLeft w:val="0"/>
      <w:marRight w:val="0"/>
      <w:marTop w:val="0"/>
      <w:marBottom w:val="0"/>
      <w:divBdr>
        <w:top w:val="none" w:sz="0" w:space="0" w:color="auto"/>
        <w:left w:val="none" w:sz="0" w:space="0" w:color="auto"/>
        <w:bottom w:val="none" w:sz="0" w:space="0" w:color="auto"/>
        <w:right w:val="none" w:sz="0" w:space="0" w:color="auto"/>
      </w:divBdr>
    </w:div>
    <w:div w:id="1572887789">
      <w:bodyDiv w:val="1"/>
      <w:marLeft w:val="0"/>
      <w:marRight w:val="0"/>
      <w:marTop w:val="0"/>
      <w:marBottom w:val="0"/>
      <w:divBdr>
        <w:top w:val="none" w:sz="0" w:space="0" w:color="auto"/>
        <w:left w:val="none" w:sz="0" w:space="0" w:color="auto"/>
        <w:bottom w:val="none" w:sz="0" w:space="0" w:color="auto"/>
        <w:right w:val="none" w:sz="0" w:space="0" w:color="auto"/>
      </w:divBdr>
    </w:div>
    <w:div w:id="1833450145">
      <w:bodyDiv w:val="1"/>
      <w:marLeft w:val="0"/>
      <w:marRight w:val="0"/>
      <w:marTop w:val="0"/>
      <w:marBottom w:val="0"/>
      <w:divBdr>
        <w:top w:val="none" w:sz="0" w:space="0" w:color="auto"/>
        <w:left w:val="none" w:sz="0" w:space="0" w:color="auto"/>
        <w:bottom w:val="none" w:sz="0" w:space="0" w:color="auto"/>
        <w:right w:val="none" w:sz="0" w:space="0" w:color="auto"/>
      </w:divBdr>
    </w:div>
    <w:div w:id="1857503984">
      <w:bodyDiv w:val="1"/>
      <w:marLeft w:val="0"/>
      <w:marRight w:val="0"/>
      <w:marTop w:val="0"/>
      <w:marBottom w:val="0"/>
      <w:divBdr>
        <w:top w:val="none" w:sz="0" w:space="0" w:color="auto"/>
        <w:left w:val="none" w:sz="0" w:space="0" w:color="auto"/>
        <w:bottom w:val="none" w:sz="0" w:space="0" w:color="auto"/>
        <w:right w:val="none" w:sz="0" w:space="0" w:color="auto"/>
      </w:divBdr>
    </w:div>
    <w:div w:id="1995135654">
      <w:bodyDiv w:val="1"/>
      <w:marLeft w:val="0"/>
      <w:marRight w:val="0"/>
      <w:marTop w:val="0"/>
      <w:marBottom w:val="0"/>
      <w:divBdr>
        <w:top w:val="none" w:sz="0" w:space="0" w:color="auto"/>
        <w:left w:val="none" w:sz="0" w:space="0" w:color="auto"/>
        <w:bottom w:val="none" w:sz="0" w:space="0" w:color="auto"/>
        <w:right w:val="none" w:sz="0" w:space="0" w:color="auto"/>
      </w:divBdr>
    </w:div>
    <w:div w:id="205870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18</TotalTime>
  <Pages>6</Pages>
  <Words>1235</Words>
  <Characters>7045</Characters>
  <Application>Microsoft Office Word</Application>
  <DocSecurity>0</DocSecurity>
  <Lines>58</Lines>
  <Paragraphs>16</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ahmet burak ağaoğlu</cp:lastModifiedBy>
  <cp:revision>5</cp:revision>
  <cp:lastPrinted>2014-09-01T08:36:00Z</cp:lastPrinted>
  <dcterms:created xsi:type="dcterms:W3CDTF">2024-09-19T07:54:00Z</dcterms:created>
  <dcterms:modified xsi:type="dcterms:W3CDTF">2025-04-04T09:40:00Z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