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6494" w14:textId="1039B827" w:rsidR="008D5DB5" w:rsidRPr="00F05955" w:rsidRDefault="0000000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955">
        <w:rPr>
          <w:rFonts w:ascii="Times New Roman" w:hAnsi="Times New Roman" w:cs="Times New Roman"/>
          <w:color w:val="000000" w:themeColor="text1"/>
          <w:sz w:val="24"/>
          <w:szCs w:val="24"/>
        </w:rPr>
        <w:t>Supplementary Table S</w:t>
      </w:r>
      <w:r w:rsidR="00E347C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05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Representative natural and synthetic efflux inhibitors, their main targets, and contexts of use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3"/>
        <w:gridCol w:w="1662"/>
        <w:gridCol w:w="1720"/>
        <w:gridCol w:w="2160"/>
        <w:gridCol w:w="1225"/>
      </w:tblGrid>
      <w:tr w:rsidR="008D5DB5" w14:paraId="11190426" w14:textId="77777777" w:rsidTr="00F05955">
        <w:tc>
          <w:tcPr>
            <w:tcW w:w="1728" w:type="dxa"/>
          </w:tcPr>
          <w:p w14:paraId="14A23F0F" w14:textId="77777777" w:rsidR="008D5DB5" w:rsidRDefault="00000000">
            <w:r>
              <w:t>Inhibitor</w:t>
            </w:r>
          </w:p>
        </w:tc>
        <w:tc>
          <w:tcPr>
            <w:tcW w:w="1728" w:type="dxa"/>
          </w:tcPr>
          <w:p w14:paraId="2F59EC41" w14:textId="77777777" w:rsidR="008D5DB5" w:rsidRDefault="00000000">
            <w:r>
              <w:t>Origin</w:t>
            </w:r>
          </w:p>
        </w:tc>
        <w:tc>
          <w:tcPr>
            <w:tcW w:w="1728" w:type="dxa"/>
          </w:tcPr>
          <w:p w14:paraId="27C9503B" w14:textId="77777777" w:rsidR="008D5DB5" w:rsidRDefault="00000000">
            <w:r>
              <w:t>Target/Family</w:t>
            </w:r>
          </w:p>
        </w:tc>
        <w:tc>
          <w:tcPr>
            <w:tcW w:w="1728" w:type="dxa"/>
          </w:tcPr>
          <w:p w14:paraId="7117C05F" w14:textId="77777777" w:rsidR="008D5DB5" w:rsidRDefault="00000000">
            <w:r>
              <w:t>Context of Use</w:t>
            </w:r>
          </w:p>
        </w:tc>
        <w:tc>
          <w:tcPr>
            <w:tcW w:w="1728" w:type="dxa"/>
          </w:tcPr>
          <w:p w14:paraId="373BEDA8" w14:textId="77777777" w:rsidR="008D5DB5" w:rsidRDefault="00000000">
            <w:r>
              <w:t>Reference</w:t>
            </w:r>
          </w:p>
        </w:tc>
      </w:tr>
      <w:tr w:rsidR="008D5DB5" w14:paraId="20099BE0" w14:textId="77777777" w:rsidTr="00F05955">
        <w:tc>
          <w:tcPr>
            <w:tcW w:w="1728" w:type="dxa"/>
          </w:tcPr>
          <w:p w14:paraId="07C0EF8A" w14:textId="77777777" w:rsidR="008D5DB5" w:rsidRDefault="00000000">
            <w:r>
              <w:t>5′-methoxyhydnocarpin-D</w:t>
            </w:r>
          </w:p>
        </w:tc>
        <w:tc>
          <w:tcPr>
            <w:tcW w:w="1728" w:type="dxa"/>
          </w:tcPr>
          <w:p w14:paraId="0FB22A6C" w14:textId="77777777" w:rsidR="008D5DB5" w:rsidRDefault="00000000">
            <w:r>
              <w:t>Natural (flavonolignan, Berberis)</w:t>
            </w:r>
          </w:p>
        </w:tc>
        <w:tc>
          <w:tcPr>
            <w:tcW w:w="1728" w:type="dxa"/>
          </w:tcPr>
          <w:p w14:paraId="411227EF" w14:textId="77777777" w:rsidR="008D5DB5" w:rsidRDefault="00000000">
            <w:r>
              <w:t>NorA (S. aureus)</w:t>
            </w:r>
          </w:p>
        </w:tc>
        <w:tc>
          <w:tcPr>
            <w:tcW w:w="1728" w:type="dxa"/>
          </w:tcPr>
          <w:p w14:paraId="7092C63A" w14:textId="77777777" w:rsidR="008D5DB5" w:rsidRDefault="00000000">
            <w:r>
              <w:t>Potentiates ciprofloxacin and tobramycin</w:t>
            </w:r>
          </w:p>
        </w:tc>
        <w:tc>
          <w:tcPr>
            <w:tcW w:w="1728" w:type="dxa"/>
          </w:tcPr>
          <w:p w14:paraId="49CB8712" w14:textId="77777777" w:rsidR="008D5DB5" w:rsidRDefault="00000000">
            <w:r>
              <w:t>Gaurav et al., 2023</w:t>
            </w:r>
          </w:p>
        </w:tc>
      </w:tr>
      <w:tr w:rsidR="008D5DB5" w14:paraId="6203A9FC" w14:textId="77777777" w:rsidTr="00F05955">
        <w:tc>
          <w:tcPr>
            <w:tcW w:w="1728" w:type="dxa"/>
          </w:tcPr>
          <w:p w14:paraId="2BADAE27" w14:textId="77777777" w:rsidR="008D5DB5" w:rsidRDefault="00000000">
            <w:r>
              <w:t>Curcumin</w:t>
            </w:r>
          </w:p>
        </w:tc>
        <w:tc>
          <w:tcPr>
            <w:tcW w:w="1728" w:type="dxa"/>
          </w:tcPr>
          <w:p w14:paraId="40FED679" w14:textId="77777777" w:rsidR="008D5DB5" w:rsidRDefault="00000000">
            <w:r>
              <w:t>Natural (polyphenol, Curcuma longa)</w:t>
            </w:r>
          </w:p>
        </w:tc>
        <w:tc>
          <w:tcPr>
            <w:tcW w:w="1728" w:type="dxa"/>
          </w:tcPr>
          <w:p w14:paraId="0B76C4AA" w14:textId="77777777" w:rsidR="008D5DB5" w:rsidRDefault="00000000">
            <w:r>
              <w:t>EPs of P. aeruginosa</w:t>
            </w:r>
          </w:p>
        </w:tc>
        <w:tc>
          <w:tcPr>
            <w:tcW w:w="1728" w:type="dxa"/>
          </w:tcPr>
          <w:p w14:paraId="66636607" w14:textId="77777777" w:rsidR="008D5DB5" w:rsidRDefault="00000000">
            <w:r>
              <w:t>Reduces ciprofloxacin resistance</w:t>
            </w:r>
          </w:p>
        </w:tc>
        <w:tc>
          <w:tcPr>
            <w:tcW w:w="1728" w:type="dxa"/>
          </w:tcPr>
          <w:p w14:paraId="0E4E0432" w14:textId="77777777" w:rsidR="008D5DB5" w:rsidRDefault="00000000">
            <w:r>
              <w:t>Negi et al., 2014</w:t>
            </w:r>
          </w:p>
        </w:tc>
      </w:tr>
      <w:tr w:rsidR="008D5DB5" w14:paraId="55AAFE38" w14:textId="77777777" w:rsidTr="00F05955">
        <w:tc>
          <w:tcPr>
            <w:tcW w:w="1728" w:type="dxa"/>
          </w:tcPr>
          <w:p w14:paraId="419D0EC0" w14:textId="77777777" w:rsidR="008D5DB5" w:rsidRDefault="00000000">
            <w:r>
              <w:t>Baicalein</w:t>
            </w:r>
          </w:p>
        </w:tc>
        <w:tc>
          <w:tcPr>
            <w:tcW w:w="1728" w:type="dxa"/>
          </w:tcPr>
          <w:p w14:paraId="414BAC4C" w14:textId="77777777" w:rsidR="008D5DB5" w:rsidRDefault="00000000">
            <w:r>
              <w:t>Natural flavonoid (Scutellaria baicalensis)</w:t>
            </w:r>
          </w:p>
        </w:tc>
        <w:tc>
          <w:tcPr>
            <w:tcW w:w="1728" w:type="dxa"/>
          </w:tcPr>
          <w:p w14:paraId="0F1DC391" w14:textId="77777777" w:rsidR="008D5DB5" w:rsidRDefault="00000000">
            <w:r>
              <w:t>NorA (S. aureus)</w:t>
            </w:r>
          </w:p>
        </w:tc>
        <w:tc>
          <w:tcPr>
            <w:tcW w:w="1728" w:type="dxa"/>
          </w:tcPr>
          <w:p w14:paraId="03E450FF" w14:textId="77777777" w:rsidR="008D5DB5" w:rsidRDefault="00000000">
            <w:r>
              <w:t>Reduces fluoroquinolone resistance</w:t>
            </w:r>
          </w:p>
        </w:tc>
        <w:tc>
          <w:tcPr>
            <w:tcW w:w="1728" w:type="dxa"/>
          </w:tcPr>
          <w:p w14:paraId="6903E667" w14:textId="77777777" w:rsidR="008D5DB5" w:rsidRDefault="00000000">
            <w:r>
              <w:t>Moulick &amp; Roy, 2024</w:t>
            </w:r>
          </w:p>
        </w:tc>
      </w:tr>
      <w:tr w:rsidR="008D5DB5" w:rsidRPr="00E347C6" w14:paraId="47D7FE02" w14:textId="77777777" w:rsidTr="00F05955">
        <w:tc>
          <w:tcPr>
            <w:tcW w:w="1728" w:type="dxa"/>
          </w:tcPr>
          <w:p w14:paraId="1BE78D67" w14:textId="77777777" w:rsidR="008D5DB5" w:rsidRDefault="00000000">
            <w:r>
              <w:t>Carvacrol / Thymol</w:t>
            </w:r>
          </w:p>
        </w:tc>
        <w:tc>
          <w:tcPr>
            <w:tcW w:w="1728" w:type="dxa"/>
          </w:tcPr>
          <w:p w14:paraId="1D2860D7" w14:textId="77777777" w:rsidR="008D5DB5" w:rsidRDefault="00000000">
            <w:r>
              <w:t>Natural monoterpenes (oregano, thyme)</w:t>
            </w:r>
          </w:p>
        </w:tc>
        <w:tc>
          <w:tcPr>
            <w:tcW w:w="1728" w:type="dxa"/>
          </w:tcPr>
          <w:p w14:paraId="3117E954" w14:textId="77777777" w:rsidR="008D5DB5" w:rsidRDefault="00000000">
            <w:r>
              <w:t>NorA (MDR S. aureus)</w:t>
            </w:r>
          </w:p>
        </w:tc>
        <w:tc>
          <w:tcPr>
            <w:tcW w:w="1728" w:type="dxa"/>
          </w:tcPr>
          <w:p w14:paraId="7D5F1174" w14:textId="77777777" w:rsidR="008D5DB5" w:rsidRDefault="00000000">
            <w:r>
              <w:t>Inhibit fluoroquinolone resistance</w:t>
            </w:r>
          </w:p>
        </w:tc>
        <w:tc>
          <w:tcPr>
            <w:tcW w:w="1728" w:type="dxa"/>
          </w:tcPr>
          <w:p w14:paraId="432D9C75" w14:textId="77777777" w:rsidR="008D5DB5" w:rsidRPr="00F05955" w:rsidRDefault="00000000">
            <w:pPr>
              <w:rPr>
                <w:lang w:val="pt-BR"/>
              </w:rPr>
            </w:pPr>
            <w:r w:rsidRPr="00F05955">
              <w:rPr>
                <w:lang w:val="pt-BR"/>
              </w:rPr>
              <w:t>Dos Santos Barbosa et al., 2021</w:t>
            </w:r>
          </w:p>
        </w:tc>
      </w:tr>
      <w:tr w:rsidR="008D5DB5" w14:paraId="7FA04D2A" w14:textId="77777777" w:rsidTr="00F05955">
        <w:tc>
          <w:tcPr>
            <w:tcW w:w="1728" w:type="dxa"/>
          </w:tcPr>
          <w:p w14:paraId="443873D5" w14:textId="77777777" w:rsidR="008D5DB5" w:rsidRDefault="00000000">
            <w:r>
              <w:t>Reserpine</w:t>
            </w:r>
          </w:p>
        </w:tc>
        <w:tc>
          <w:tcPr>
            <w:tcW w:w="1728" w:type="dxa"/>
          </w:tcPr>
          <w:p w14:paraId="44C09BCE" w14:textId="77777777" w:rsidR="008D5DB5" w:rsidRDefault="00000000">
            <w:r>
              <w:t>Natural alkaloid (Rauvolfia serpentina)</w:t>
            </w:r>
          </w:p>
        </w:tc>
        <w:tc>
          <w:tcPr>
            <w:tcW w:w="1728" w:type="dxa"/>
          </w:tcPr>
          <w:p w14:paraId="2C25F71E" w14:textId="77777777" w:rsidR="008D5DB5" w:rsidRDefault="00000000">
            <w:r>
              <w:t>MFS, multiple Gram-positives</w:t>
            </w:r>
          </w:p>
        </w:tc>
        <w:tc>
          <w:tcPr>
            <w:tcW w:w="1728" w:type="dxa"/>
          </w:tcPr>
          <w:p w14:paraId="4786061A" w14:textId="77777777" w:rsidR="008D5DB5" w:rsidRDefault="00000000">
            <w:r>
              <w:t>Inhibits efflux in S. aureus, S. pneumoniae, M. tuberculosis</w:t>
            </w:r>
          </w:p>
        </w:tc>
        <w:tc>
          <w:tcPr>
            <w:tcW w:w="1728" w:type="dxa"/>
          </w:tcPr>
          <w:p w14:paraId="7BA4E2DE" w14:textId="77777777" w:rsidR="008D5DB5" w:rsidRDefault="00000000">
            <w:r>
              <w:t>Schmitz et al., 1998; Garvey et al., 2011</w:t>
            </w:r>
          </w:p>
        </w:tc>
      </w:tr>
      <w:tr w:rsidR="008D5DB5" w14:paraId="46B5615C" w14:textId="77777777" w:rsidTr="00F05955">
        <w:tc>
          <w:tcPr>
            <w:tcW w:w="1728" w:type="dxa"/>
          </w:tcPr>
          <w:p w14:paraId="43BD4177" w14:textId="77777777" w:rsidR="008D5DB5" w:rsidRDefault="00000000">
            <w:r>
              <w:t>Plumbagin</w:t>
            </w:r>
          </w:p>
        </w:tc>
        <w:tc>
          <w:tcPr>
            <w:tcW w:w="1728" w:type="dxa"/>
          </w:tcPr>
          <w:p w14:paraId="4E8539C9" w14:textId="77777777" w:rsidR="008D5DB5" w:rsidRDefault="00000000">
            <w:r>
              <w:t>Natural (Plumbago zeylanica)</w:t>
            </w:r>
          </w:p>
        </w:tc>
        <w:tc>
          <w:tcPr>
            <w:tcW w:w="1728" w:type="dxa"/>
          </w:tcPr>
          <w:p w14:paraId="6806BFC4" w14:textId="77777777" w:rsidR="008D5DB5" w:rsidRDefault="00000000">
            <w:r>
              <w:t>ABCG2 (cancer)</w:t>
            </w:r>
          </w:p>
        </w:tc>
        <w:tc>
          <w:tcPr>
            <w:tcW w:w="1728" w:type="dxa"/>
          </w:tcPr>
          <w:p w14:paraId="65F7A3AF" w14:textId="77777777" w:rsidR="008D5DB5" w:rsidRDefault="00000000">
            <w:r>
              <w:t>Blocks tumor MDR</w:t>
            </w:r>
          </w:p>
        </w:tc>
        <w:tc>
          <w:tcPr>
            <w:tcW w:w="1728" w:type="dxa"/>
          </w:tcPr>
          <w:p w14:paraId="684F5679" w14:textId="77777777" w:rsidR="008D5DB5" w:rsidRDefault="00000000">
            <w:r>
              <w:t>Shukla et al., 2007</w:t>
            </w:r>
          </w:p>
        </w:tc>
      </w:tr>
      <w:tr w:rsidR="008D5DB5" w14:paraId="4443BEB9" w14:textId="77777777" w:rsidTr="00F05955">
        <w:tc>
          <w:tcPr>
            <w:tcW w:w="1728" w:type="dxa"/>
          </w:tcPr>
          <w:p w14:paraId="3764D47F" w14:textId="77777777" w:rsidR="008D5DB5" w:rsidRDefault="00000000">
            <w:r>
              <w:t>Ethyl-4-bromopyrrole-2-carboxylate</w:t>
            </w:r>
          </w:p>
        </w:tc>
        <w:tc>
          <w:tcPr>
            <w:tcW w:w="1728" w:type="dxa"/>
          </w:tcPr>
          <w:p w14:paraId="3238F051" w14:textId="77777777" w:rsidR="008D5DB5" w:rsidRDefault="00000000">
            <w:r>
              <w:t>Microbial metabolite (Streptomyces sp.)</w:t>
            </w:r>
          </w:p>
        </w:tc>
        <w:tc>
          <w:tcPr>
            <w:tcW w:w="1728" w:type="dxa"/>
          </w:tcPr>
          <w:p w14:paraId="4D6827A5" w14:textId="77777777" w:rsidR="008D5DB5" w:rsidRDefault="00000000">
            <w:r>
              <w:t>EPs in P. aeruginosa</w:t>
            </w:r>
          </w:p>
        </w:tc>
        <w:tc>
          <w:tcPr>
            <w:tcW w:w="1728" w:type="dxa"/>
          </w:tcPr>
          <w:p w14:paraId="2FC5C513" w14:textId="77777777" w:rsidR="008D5DB5" w:rsidRDefault="00000000">
            <w:r>
              <w:t>Potentiates antibiotics</w:t>
            </w:r>
          </w:p>
        </w:tc>
        <w:tc>
          <w:tcPr>
            <w:tcW w:w="1728" w:type="dxa"/>
          </w:tcPr>
          <w:p w14:paraId="51264577" w14:textId="77777777" w:rsidR="008D5DB5" w:rsidRDefault="00000000">
            <w:r>
              <w:t>Tambat et al., 2019/2022</w:t>
            </w:r>
          </w:p>
        </w:tc>
      </w:tr>
      <w:tr w:rsidR="008D5DB5" w14:paraId="5FB0376D" w14:textId="77777777" w:rsidTr="00F05955">
        <w:tc>
          <w:tcPr>
            <w:tcW w:w="1728" w:type="dxa"/>
          </w:tcPr>
          <w:p w14:paraId="75F88689" w14:textId="77777777" w:rsidR="008D5DB5" w:rsidRDefault="00000000">
            <w:r>
              <w:t>PaβN (MC-207,110)</w:t>
            </w:r>
          </w:p>
        </w:tc>
        <w:tc>
          <w:tcPr>
            <w:tcW w:w="1728" w:type="dxa"/>
          </w:tcPr>
          <w:p w14:paraId="5A4E32F9" w14:textId="77777777" w:rsidR="008D5DB5" w:rsidRDefault="00000000">
            <w:r>
              <w:t>Synthetic</w:t>
            </w:r>
          </w:p>
        </w:tc>
        <w:tc>
          <w:tcPr>
            <w:tcW w:w="1728" w:type="dxa"/>
          </w:tcPr>
          <w:p w14:paraId="05066861" w14:textId="77777777" w:rsidR="008D5DB5" w:rsidRPr="00F05955" w:rsidRDefault="00000000">
            <w:pPr>
              <w:rPr>
                <w:lang w:val="pt-BR"/>
              </w:rPr>
            </w:pPr>
            <w:r w:rsidRPr="00F05955">
              <w:rPr>
                <w:lang w:val="pt-BR"/>
              </w:rPr>
              <w:t>RND (E. coli, P. aeruginosa)</w:t>
            </w:r>
          </w:p>
        </w:tc>
        <w:tc>
          <w:tcPr>
            <w:tcW w:w="1728" w:type="dxa"/>
          </w:tcPr>
          <w:p w14:paraId="61DF169F" w14:textId="77777777" w:rsidR="008D5DB5" w:rsidRDefault="00000000">
            <w:r>
              <w:t>Reverses resistance to fluoroquinolones and β-lactams (limited by toxicity)</w:t>
            </w:r>
          </w:p>
        </w:tc>
        <w:tc>
          <w:tcPr>
            <w:tcW w:w="1728" w:type="dxa"/>
          </w:tcPr>
          <w:p w14:paraId="4673B33E" w14:textId="77777777" w:rsidR="008D5DB5" w:rsidRDefault="00000000">
            <w:r>
              <w:t>Lomovskaya et al., 2001</w:t>
            </w:r>
          </w:p>
        </w:tc>
      </w:tr>
      <w:tr w:rsidR="008D5DB5" w14:paraId="32A0C433" w14:textId="77777777" w:rsidTr="00F05955">
        <w:tc>
          <w:tcPr>
            <w:tcW w:w="1728" w:type="dxa"/>
          </w:tcPr>
          <w:p w14:paraId="064B2BA4" w14:textId="77777777" w:rsidR="008D5DB5" w:rsidRDefault="00000000">
            <w:r>
              <w:t>MBX-2319</w:t>
            </w:r>
          </w:p>
        </w:tc>
        <w:tc>
          <w:tcPr>
            <w:tcW w:w="1728" w:type="dxa"/>
          </w:tcPr>
          <w:p w14:paraId="0CD5DA4B" w14:textId="77777777" w:rsidR="008D5DB5" w:rsidRDefault="00000000">
            <w:r>
              <w:t>Synthetic (pyridopyrimidine)</w:t>
            </w:r>
          </w:p>
        </w:tc>
        <w:tc>
          <w:tcPr>
            <w:tcW w:w="1728" w:type="dxa"/>
          </w:tcPr>
          <w:p w14:paraId="03242D11" w14:textId="77777777" w:rsidR="008D5DB5" w:rsidRPr="00F05955" w:rsidRDefault="00000000">
            <w:pPr>
              <w:rPr>
                <w:lang w:val="pt-BR"/>
              </w:rPr>
            </w:pPr>
            <w:r w:rsidRPr="00F05955">
              <w:rPr>
                <w:lang w:val="pt-BR"/>
              </w:rPr>
              <w:t>AcrAB-TolC (E. coli, Enterobacteriaceae)</w:t>
            </w:r>
          </w:p>
        </w:tc>
        <w:tc>
          <w:tcPr>
            <w:tcW w:w="1728" w:type="dxa"/>
          </w:tcPr>
          <w:p w14:paraId="1DE19309" w14:textId="77777777" w:rsidR="008D5DB5" w:rsidRDefault="00000000">
            <w:r>
              <w:t>Potentiates ciprofloxacin/levofloxacin</w:t>
            </w:r>
          </w:p>
        </w:tc>
        <w:tc>
          <w:tcPr>
            <w:tcW w:w="1728" w:type="dxa"/>
          </w:tcPr>
          <w:p w14:paraId="71D27A0A" w14:textId="77777777" w:rsidR="008D5DB5" w:rsidRDefault="00000000">
            <w:r>
              <w:t>Opperman et al., 2014</w:t>
            </w:r>
          </w:p>
        </w:tc>
      </w:tr>
      <w:tr w:rsidR="008D5DB5" w14:paraId="1BD90CF1" w14:textId="77777777" w:rsidTr="00F05955">
        <w:tc>
          <w:tcPr>
            <w:tcW w:w="1728" w:type="dxa"/>
          </w:tcPr>
          <w:p w14:paraId="5C93A806" w14:textId="77777777" w:rsidR="008D5DB5" w:rsidRDefault="00000000">
            <w:r>
              <w:t>D13-9001</w:t>
            </w:r>
          </w:p>
        </w:tc>
        <w:tc>
          <w:tcPr>
            <w:tcW w:w="1728" w:type="dxa"/>
          </w:tcPr>
          <w:p w14:paraId="27A1E3AB" w14:textId="77777777" w:rsidR="008D5DB5" w:rsidRDefault="00000000">
            <w:r>
              <w:t>Synthetic</w:t>
            </w:r>
          </w:p>
        </w:tc>
        <w:tc>
          <w:tcPr>
            <w:tcW w:w="1728" w:type="dxa"/>
          </w:tcPr>
          <w:p w14:paraId="08A7E9C5" w14:textId="77777777" w:rsidR="008D5DB5" w:rsidRDefault="00000000">
            <w:r>
              <w:t>MexAB-OprM (P. aeruginosa)</w:t>
            </w:r>
          </w:p>
        </w:tc>
        <w:tc>
          <w:tcPr>
            <w:tcW w:w="1728" w:type="dxa"/>
          </w:tcPr>
          <w:p w14:paraId="2CBFEB75" w14:textId="77777777" w:rsidR="008D5DB5" w:rsidRDefault="00000000">
            <w:r>
              <w:t>Potentiates β-lactams/fluoroquinolones</w:t>
            </w:r>
          </w:p>
        </w:tc>
        <w:tc>
          <w:tcPr>
            <w:tcW w:w="1728" w:type="dxa"/>
          </w:tcPr>
          <w:p w14:paraId="59B8A684" w14:textId="77777777" w:rsidR="008D5DB5" w:rsidRDefault="00000000">
            <w:r>
              <w:t>Nakashima et al., 2013</w:t>
            </w:r>
          </w:p>
        </w:tc>
      </w:tr>
      <w:tr w:rsidR="008D5DB5" w14:paraId="05D65F28" w14:textId="77777777" w:rsidTr="00F05955">
        <w:tc>
          <w:tcPr>
            <w:tcW w:w="1728" w:type="dxa"/>
          </w:tcPr>
          <w:p w14:paraId="70D23E1C" w14:textId="77777777" w:rsidR="008D5DB5" w:rsidRDefault="00000000">
            <w:r>
              <w:t>MBX-4191</w:t>
            </w:r>
          </w:p>
        </w:tc>
        <w:tc>
          <w:tcPr>
            <w:tcW w:w="1728" w:type="dxa"/>
          </w:tcPr>
          <w:p w14:paraId="4CA599BA" w14:textId="77777777" w:rsidR="008D5DB5" w:rsidRDefault="00000000">
            <w:r>
              <w:t>Synthetic</w:t>
            </w:r>
          </w:p>
        </w:tc>
        <w:tc>
          <w:tcPr>
            <w:tcW w:w="1728" w:type="dxa"/>
          </w:tcPr>
          <w:p w14:paraId="08076172" w14:textId="77777777" w:rsidR="008D5DB5" w:rsidRDefault="00000000">
            <w:r>
              <w:t>AcrAB-TolC (E. coli)</w:t>
            </w:r>
          </w:p>
        </w:tc>
        <w:tc>
          <w:tcPr>
            <w:tcW w:w="1728" w:type="dxa"/>
          </w:tcPr>
          <w:p w14:paraId="1E3202F8" w14:textId="77777777" w:rsidR="008D5DB5" w:rsidRDefault="00000000">
            <w:r>
              <w:t>Restores susceptibility to antimicrobials</w:t>
            </w:r>
          </w:p>
        </w:tc>
        <w:tc>
          <w:tcPr>
            <w:tcW w:w="1728" w:type="dxa"/>
          </w:tcPr>
          <w:p w14:paraId="7FA8B28A" w14:textId="77777777" w:rsidR="008D5DB5" w:rsidRDefault="00000000">
            <w:r>
              <w:t>Vargiu et al., 2014</w:t>
            </w:r>
          </w:p>
        </w:tc>
      </w:tr>
      <w:tr w:rsidR="008D5DB5" w14:paraId="00DF2077" w14:textId="77777777" w:rsidTr="00F05955">
        <w:tc>
          <w:tcPr>
            <w:tcW w:w="1728" w:type="dxa"/>
          </w:tcPr>
          <w:p w14:paraId="0C0D4126" w14:textId="77777777" w:rsidR="008D5DB5" w:rsidRDefault="00000000">
            <w:r>
              <w:t>Pyrvinium</w:t>
            </w:r>
          </w:p>
        </w:tc>
        <w:tc>
          <w:tcPr>
            <w:tcW w:w="1728" w:type="dxa"/>
          </w:tcPr>
          <w:p w14:paraId="73890A72" w14:textId="77777777" w:rsidR="008D5DB5" w:rsidRDefault="00000000">
            <w:r>
              <w:t>Repurposed drug (anti-helminthic)</w:t>
            </w:r>
          </w:p>
        </w:tc>
        <w:tc>
          <w:tcPr>
            <w:tcW w:w="1728" w:type="dxa"/>
          </w:tcPr>
          <w:p w14:paraId="6B62A7BB" w14:textId="77777777" w:rsidR="008D5DB5" w:rsidRDefault="00000000">
            <w:r>
              <w:t>Biofilms of MDR S. aureus</w:t>
            </w:r>
          </w:p>
        </w:tc>
        <w:tc>
          <w:tcPr>
            <w:tcW w:w="1728" w:type="dxa"/>
          </w:tcPr>
          <w:p w14:paraId="42C99590" w14:textId="77777777" w:rsidR="008D5DB5" w:rsidRDefault="00000000">
            <w:r>
              <w:t>Synergy with ciprofloxacin</w:t>
            </w:r>
          </w:p>
        </w:tc>
        <w:tc>
          <w:tcPr>
            <w:tcW w:w="1728" w:type="dxa"/>
          </w:tcPr>
          <w:p w14:paraId="4A7B8D0E" w14:textId="77777777" w:rsidR="008D5DB5" w:rsidRDefault="00000000">
            <w:r>
              <w:t>Mahey et al., 2021</w:t>
            </w:r>
          </w:p>
        </w:tc>
      </w:tr>
      <w:tr w:rsidR="008D5DB5" w14:paraId="256E56D5" w14:textId="77777777" w:rsidTr="00F05955">
        <w:tc>
          <w:tcPr>
            <w:tcW w:w="1728" w:type="dxa"/>
          </w:tcPr>
          <w:p w14:paraId="0AED288F" w14:textId="77777777" w:rsidR="008D5DB5" w:rsidRDefault="00000000">
            <w:r>
              <w:lastRenderedPageBreak/>
              <w:t>Nilotinib</w:t>
            </w:r>
          </w:p>
        </w:tc>
        <w:tc>
          <w:tcPr>
            <w:tcW w:w="1728" w:type="dxa"/>
          </w:tcPr>
          <w:p w14:paraId="4739B9AF" w14:textId="77777777" w:rsidR="008D5DB5" w:rsidRDefault="00000000">
            <w:r>
              <w:t>Repurposed drug (anticancer)</w:t>
            </w:r>
          </w:p>
        </w:tc>
        <w:tc>
          <w:tcPr>
            <w:tcW w:w="1728" w:type="dxa"/>
          </w:tcPr>
          <w:p w14:paraId="0C955BB6" w14:textId="77777777" w:rsidR="008D5DB5" w:rsidRDefault="00000000">
            <w:r>
              <w:t>NorA (S. aureus)</w:t>
            </w:r>
          </w:p>
        </w:tc>
        <w:tc>
          <w:tcPr>
            <w:tcW w:w="1728" w:type="dxa"/>
          </w:tcPr>
          <w:p w14:paraId="58EC0AEA" w14:textId="77777777" w:rsidR="008D5DB5" w:rsidRDefault="00000000">
            <w:r>
              <w:t>Potentiates ciprofloxacin, biofilm inhibition</w:t>
            </w:r>
          </w:p>
        </w:tc>
        <w:tc>
          <w:tcPr>
            <w:tcW w:w="1728" w:type="dxa"/>
          </w:tcPr>
          <w:p w14:paraId="726B9CE1" w14:textId="77777777" w:rsidR="008D5DB5" w:rsidRDefault="00000000">
            <w:r>
              <w:t>Zimmermann et al., 2019</w:t>
            </w:r>
          </w:p>
        </w:tc>
      </w:tr>
      <w:tr w:rsidR="008D5DB5" w14:paraId="59D43FC0" w14:textId="77777777" w:rsidTr="00F05955">
        <w:tc>
          <w:tcPr>
            <w:tcW w:w="1728" w:type="dxa"/>
          </w:tcPr>
          <w:p w14:paraId="1505DCDC" w14:textId="77777777" w:rsidR="008D5DB5" w:rsidRDefault="00000000">
            <w:r>
              <w:t>Verapamil</w:t>
            </w:r>
          </w:p>
        </w:tc>
        <w:tc>
          <w:tcPr>
            <w:tcW w:w="1728" w:type="dxa"/>
          </w:tcPr>
          <w:p w14:paraId="1CF68F3C" w14:textId="77777777" w:rsidR="008D5DB5" w:rsidRDefault="00000000">
            <w:r>
              <w:t>Repurposed drug (Ca2+ channel blocker)</w:t>
            </w:r>
          </w:p>
        </w:tc>
        <w:tc>
          <w:tcPr>
            <w:tcW w:w="1728" w:type="dxa"/>
          </w:tcPr>
          <w:p w14:paraId="39E1A3D3" w14:textId="77777777" w:rsidR="008D5DB5" w:rsidRDefault="00000000">
            <w:r>
              <w:t>M. tuberculosis EPs, ABC</w:t>
            </w:r>
          </w:p>
        </w:tc>
        <w:tc>
          <w:tcPr>
            <w:tcW w:w="1728" w:type="dxa"/>
          </w:tcPr>
          <w:p w14:paraId="2056A3E1" w14:textId="77777777" w:rsidR="008D5DB5" w:rsidRDefault="00000000">
            <w:r>
              <w:t>Increases intracellular drug accumulation; oncology trials</w:t>
            </w:r>
          </w:p>
        </w:tc>
        <w:tc>
          <w:tcPr>
            <w:tcW w:w="1728" w:type="dxa"/>
          </w:tcPr>
          <w:p w14:paraId="36D9BA7E" w14:textId="77777777" w:rsidR="008D5DB5" w:rsidRDefault="00000000">
            <w:r>
              <w:t>Gupta et al., 2013</w:t>
            </w:r>
          </w:p>
        </w:tc>
      </w:tr>
      <w:tr w:rsidR="008D5DB5" w14:paraId="6D305000" w14:textId="77777777" w:rsidTr="00F05955">
        <w:tc>
          <w:tcPr>
            <w:tcW w:w="1728" w:type="dxa"/>
          </w:tcPr>
          <w:p w14:paraId="3E9E89A2" w14:textId="77777777" w:rsidR="008D5DB5" w:rsidRDefault="00000000">
            <w:r>
              <w:t>Tariquidar</w:t>
            </w:r>
          </w:p>
        </w:tc>
        <w:tc>
          <w:tcPr>
            <w:tcW w:w="1728" w:type="dxa"/>
          </w:tcPr>
          <w:p w14:paraId="6312E05E" w14:textId="77777777" w:rsidR="008D5DB5" w:rsidRDefault="00000000">
            <w:r>
              <w:t>Synthetic / repurposed (oncology)</w:t>
            </w:r>
          </w:p>
        </w:tc>
        <w:tc>
          <w:tcPr>
            <w:tcW w:w="1728" w:type="dxa"/>
          </w:tcPr>
          <w:p w14:paraId="66367227" w14:textId="77777777" w:rsidR="008D5DB5" w:rsidRDefault="00000000">
            <w:r>
              <w:t>ABC (P-gp)</w:t>
            </w:r>
          </w:p>
        </w:tc>
        <w:tc>
          <w:tcPr>
            <w:tcW w:w="1728" w:type="dxa"/>
          </w:tcPr>
          <w:p w14:paraId="51C6339C" w14:textId="77777777" w:rsidR="008D5DB5" w:rsidRDefault="00000000">
            <w:r>
              <w:t>Reverses MDR in tumors (clinical trials)</w:t>
            </w:r>
          </w:p>
        </w:tc>
        <w:tc>
          <w:tcPr>
            <w:tcW w:w="1728" w:type="dxa"/>
          </w:tcPr>
          <w:p w14:paraId="3BB6C1A9" w14:textId="77777777" w:rsidR="008D5DB5" w:rsidRDefault="00000000">
            <w:r>
              <w:t>Robey et al., 2018</w:t>
            </w:r>
          </w:p>
        </w:tc>
      </w:tr>
      <w:tr w:rsidR="008D5DB5" w14:paraId="70786575" w14:textId="77777777" w:rsidTr="00F05955">
        <w:tc>
          <w:tcPr>
            <w:tcW w:w="1728" w:type="dxa"/>
          </w:tcPr>
          <w:p w14:paraId="717A0782" w14:textId="77777777" w:rsidR="008D5DB5" w:rsidRDefault="00000000">
            <w:r>
              <w:t>Ko143</w:t>
            </w:r>
          </w:p>
        </w:tc>
        <w:tc>
          <w:tcPr>
            <w:tcW w:w="1728" w:type="dxa"/>
          </w:tcPr>
          <w:p w14:paraId="717EFBA3" w14:textId="77777777" w:rsidR="008D5DB5" w:rsidRDefault="00000000">
            <w:r>
              <w:t>Synthetic</w:t>
            </w:r>
          </w:p>
        </w:tc>
        <w:tc>
          <w:tcPr>
            <w:tcW w:w="1728" w:type="dxa"/>
          </w:tcPr>
          <w:p w14:paraId="2F888E55" w14:textId="77777777" w:rsidR="008D5DB5" w:rsidRDefault="00000000">
            <w:r>
              <w:t>ABCG2 (BCRP)</w:t>
            </w:r>
          </w:p>
        </w:tc>
        <w:tc>
          <w:tcPr>
            <w:tcW w:w="1728" w:type="dxa"/>
          </w:tcPr>
          <w:p w14:paraId="24C91EEF" w14:textId="77777777" w:rsidR="008D5DB5" w:rsidRDefault="00000000">
            <w:r>
              <w:t>Blocks efflux in cancer</w:t>
            </w:r>
          </w:p>
        </w:tc>
        <w:tc>
          <w:tcPr>
            <w:tcW w:w="1728" w:type="dxa"/>
          </w:tcPr>
          <w:p w14:paraId="52B47850" w14:textId="77777777" w:rsidR="008D5DB5" w:rsidRDefault="00000000">
            <w:r>
              <w:t>Weidner et al., 2016</w:t>
            </w:r>
          </w:p>
        </w:tc>
      </w:tr>
      <w:tr w:rsidR="008D5DB5" w14:paraId="1F7DF958" w14:textId="77777777" w:rsidTr="00F05955">
        <w:tc>
          <w:tcPr>
            <w:tcW w:w="1728" w:type="dxa"/>
          </w:tcPr>
          <w:p w14:paraId="55D935E2" w14:textId="77777777" w:rsidR="008D5DB5" w:rsidRDefault="00000000">
            <w:r>
              <w:t>SCO-101</w:t>
            </w:r>
          </w:p>
        </w:tc>
        <w:tc>
          <w:tcPr>
            <w:tcW w:w="1728" w:type="dxa"/>
          </w:tcPr>
          <w:p w14:paraId="08F50D06" w14:textId="77777777" w:rsidR="008D5DB5" w:rsidRDefault="00000000">
            <w:r>
              <w:t>Synthetic (Phase II clinical trial)</w:t>
            </w:r>
          </w:p>
        </w:tc>
        <w:tc>
          <w:tcPr>
            <w:tcW w:w="1728" w:type="dxa"/>
          </w:tcPr>
          <w:p w14:paraId="3C016490" w14:textId="77777777" w:rsidR="008D5DB5" w:rsidRDefault="00000000">
            <w:r>
              <w:t>ABC transporters</w:t>
            </w:r>
          </w:p>
        </w:tc>
        <w:tc>
          <w:tcPr>
            <w:tcW w:w="1728" w:type="dxa"/>
          </w:tcPr>
          <w:p w14:paraId="1C7BC9CC" w14:textId="77777777" w:rsidR="008D5DB5" w:rsidRDefault="00000000">
            <w:r>
              <w:t>Combined with FOLFIRI in colorectal cancer</w:t>
            </w:r>
          </w:p>
        </w:tc>
        <w:tc>
          <w:tcPr>
            <w:tcW w:w="1728" w:type="dxa"/>
          </w:tcPr>
          <w:p w14:paraId="53F956A6" w14:textId="77777777" w:rsidR="008D5DB5" w:rsidRDefault="00000000">
            <w:r>
              <w:t>Ladekarl et al., 2023</w:t>
            </w:r>
          </w:p>
        </w:tc>
      </w:tr>
    </w:tbl>
    <w:p w14:paraId="3ED3730B" w14:textId="77777777" w:rsidR="00FB534C" w:rsidRDefault="00FB534C"/>
    <w:sectPr w:rsidR="00FB53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150148">
    <w:abstractNumId w:val="8"/>
  </w:num>
  <w:num w:numId="2" w16cid:durableId="1396245278">
    <w:abstractNumId w:val="6"/>
  </w:num>
  <w:num w:numId="3" w16cid:durableId="1102066873">
    <w:abstractNumId w:val="5"/>
  </w:num>
  <w:num w:numId="4" w16cid:durableId="520439198">
    <w:abstractNumId w:val="4"/>
  </w:num>
  <w:num w:numId="5" w16cid:durableId="1319263213">
    <w:abstractNumId w:val="7"/>
  </w:num>
  <w:num w:numId="6" w16cid:durableId="35281047">
    <w:abstractNumId w:val="3"/>
  </w:num>
  <w:num w:numId="7" w16cid:durableId="504169688">
    <w:abstractNumId w:val="2"/>
  </w:num>
  <w:num w:numId="8" w16cid:durableId="988679636">
    <w:abstractNumId w:val="1"/>
  </w:num>
  <w:num w:numId="9" w16cid:durableId="81568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D5DB5"/>
    <w:rsid w:val="00AA1D8D"/>
    <w:rsid w:val="00B47730"/>
    <w:rsid w:val="00CB0664"/>
    <w:rsid w:val="00DF03EF"/>
    <w:rsid w:val="00E347C6"/>
    <w:rsid w:val="00F05955"/>
    <w:rsid w:val="00FB53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009C4"/>
  <w14:defaultImageDpi w14:val="300"/>
  <w15:docId w15:val="{2C1C051C-E028-4246-A5AB-8941363F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2050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Eduardo Almeida da Silva</cp:lastModifiedBy>
  <cp:revision>2</cp:revision>
  <dcterms:created xsi:type="dcterms:W3CDTF">2025-09-03T11:52:00Z</dcterms:created>
  <dcterms:modified xsi:type="dcterms:W3CDTF">2025-09-03T11:52:00Z</dcterms:modified>
  <cp:category/>
</cp:coreProperties>
</file>