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D722" w14:textId="77777777" w:rsidR="00750DF5" w:rsidRDefault="00750DF5" w:rsidP="00750DF5">
      <w:pPr>
        <w:pStyle w:val="Heading1"/>
      </w:pPr>
      <w:r>
        <w:t>STROBE Checklist for Cross-Sectional Study</w:t>
      </w:r>
    </w:p>
    <w:p w14:paraId="23FF2A0A" w14:textId="77777777" w:rsidR="00750DF5" w:rsidRDefault="00750DF5" w:rsidP="00750DF5">
      <w:pPr>
        <w:pStyle w:val="Heading2"/>
      </w:pPr>
      <w:r>
        <w:t>Title and Abstract</w:t>
      </w:r>
    </w:p>
    <w:p w14:paraId="0EFC90AF" w14:textId="77777777" w:rsidR="00750DF5" w:rsidRDefault="00750DF5" w:rsidP="00750DF5">
      <w:pPr>
        <w:pStyle w:val="ListNumber"/>
      </w:pPr>
      <w:r>
        <w:t>1a. The study design is clearly indicated as a 'cross-sectional study' in both the title and abstract.</w:t>
      </w:r>
    </w:p>
    <w:p w14:paraId="0A475541" w14:textId="77777777" w:rsidR="00750DF5" w:rsidRDefault="00750DF5" w:rsidP="00750DF5">
      <w:pPr>
        <w:pStyle w:val="ListNumber"/>
      </w:pPr>
      <w:r>
        <w:t>1b. The abstract provides a clear and balanced summary, including background, objectives, methods, key results, and conclusion.</w:t>
      </w:r>
    </w:p>
    <w:p w14:paraId="6D9E639F" w14:textId="77777777" w:rsidR="00750DF5" w:rsidRDefault="00750DF5" w:rsidP="00750DF5">
      <w:pPr>
        <w:pStyle w:val="Heading2"/>
      </w:pPr>
      <w:r>
        <w:t>Introduction</w:t>
      </w:r>
    </w:p>
    <w:p w14:paraId="7060AFC3" w14:textId="77777777" w:rsidR="00750DF5" w:rsidRDefault="00750DF5" w:rsidP="00750DF5">
      <w:pPr>
        <w:pStyle w:val="ListNumber"/>
      </w:pPr>
      <w:r>
        <w:t>2. Background rationale is presented in the Introduction, highlighting the clinical dilemma of managing women with abnormal screening but negative colposcopy and TZ3.</w:t>
      </w:r>
    </w:p>
    <w:p w14:paraId="4843C659" w14:textId="77777777" w:rsidR="00750DF5" w:rsidRDefault="00750DF5" w:rsidP="00750DF5">
      <w:pPr>
        <w:pStyle w:val="ListNumber"/>
      </w:pPr>
      <w:r>
        <w:t>3. Objectives are clearly stated in the last paragraph of the Introduction, including identifying HSIL+ predictors and defining risk thresholds.</w:t>
      </w:r>
    </w:p>
    <w:p w14:paraId="6B1D1D92" w14:textId="77777777" w:rsidR="00750DF5" w:rsidRDefault="00750DF5" w:rsidP="00750DF5">
      <w:pPr>
        <w:pStyle w:val="Heading2"/>
      </w:pPr>
      <w:r>
        <w:t>Methods</w:t>
      </w:r>
    </w:p>
    <w:p w14:paraId="570450B1" w14:textId="77777777" w:rsidR="00750DF5" w:rsidRDefault="00750DF5" w:rsidP="00750DF5">
      <w:pPr>
        <w:pStyle w:val="ListNumber"/>
      </w:pPr>
      <w:r>
        <w:t>4. The study design is described early in the 'Materials and Methods' as a cross-sectional study.</w:t>
      </w:r>
    </w:p>
    <w:p w14:paraId="5B986A4B" w14:textId="77777777" w:rsidR="00750DF5" w:rsidRDefault="00750DF5" w:rsidP="00750DF5">
      <w:pPr>
        <w:pStyle w:val="ListNumber"/>
      </w:pPr>
      <w:r>
        <w:t>5. The setting is described: Hunan Provincial Maternal and Child Health Care Hospital, 2021–2024.</w:t>
      </w:r>
    </w:p>
    <w:p w14:paraId="0132B0D7" w14:textId="77777777" w:rsidR="00750DF5" w:rsidRDefault="00750DF5" w:rsidP="00750DF5">
      <w:pPr>
        <w:pStyle w:val="ListNumber"/>
      </w:pPr>
      <w:r>
        <w:t>6a. Eligibility criteria include sexually active, not pregnant, intact uterus, no prior cervical cancer or pelvic radiation.</w:t>
      </w:r>
    </w:p>
    <w:p w14:paraId="10B6E9AC" w14:textId="77777777" w:rsidR="00750DF5" w:rsidRDefault="00750DF5" w:rsidP="00750DF5">
      <w:pPr>
        <w:pStyle w:val="ListNumber"/>
      </w:pPr>
      <w:r>
        <w:t>7. Variables are clearly defined: outcomes (HSIL+), exposures (HPV genotype, cytology), and confounders (age, parity, menopause).</w:t>
      </w:r>
    </w:p>
    <w:p w14:paraId="542F1C7D" w14:textId="77777777" w:rsidR="00750DF5" w:rsidRDefault="00750DF5" w:rsidP="00750DF5">
      <w:pPr>
        <w:pStyle w:val="ListNumber"/>
      </w:pPr>
      <w:r>
        <w:t>8. Data sources and measurement methods are explained for cytology, HPV, colposcopy, ECC, and biopsy.</w:t>
      </w:r>
    </w:p>
    <w:p w14:paraId="2E64C4CF" w14:textId="77777777" w:rsidR="00750DF5" w:rsidRDefault="00750DF5" w:rsidP="00750DF5">
      <w:pPr>
        <w:pStyle w:val="ListNumber"/>
      </w:pPr>
      <w:r>
        <w:t>9. Bias is addressed in limitations, including retrospective design and TZ3 anatomical constraints.</w:t>
      </w:r>
    </w:p>
    <w:p w14:paraId="6ADF0FD0" w14:textId="77777777" w:rsidR="00750DF5" w:rsidRDefault="00750DF5" w:rsidP="00750DF5">
      <w:pPr>
        <w:pStyle w:val="ListNumber"/>
      </w:pPr>
      <w:r>
        <w:t>10. Study size is based on inclusion/exclusion criteria applied to the screened cohort, shown in Figure 1.</w:t>
      </w:r>
    </w:p>
    <w:p w14:paraId="0A6E9DDF" w14:textId="77777777" w:rsidR="00750DF5" w:rsidRDefault="00750DF5" w:rsidP="00750DF5">
      <w:pPr>
        <w:pStyle w:val="ListNumber"/>
      </w:pPr>
      <w:r>
        <w:t>11. Quantitative variables such as age were treated both continuously and categorically.</w:t>
      </w:r>
    </w:p>
    <w:p w14:paraId="50AB1880" w14:textId="77777777" w:rsidR="00750DF5" w:rsidRDefault="00750DF5" w:rsidP="00750DF5">
      <w:pPr>
        <w:pStyle w:val="ListNumber"/>
      </w:pPr>
      <w:r>
        <w:t>12a. Statistical methods include univariate and multivariate logistic regression, RCS modeling.</w:t>
      </w:r>
    </w:p>
    <w:p w14:paraId="4ED7D1F2" w14:textId="77777777" w:rsidR="00750DF5" w:rsidRDefault="00750DF5" w:rsidP="00750DF5">
      <w:pPr>
        <w:pStyle w:val="ListNumber"/>
      </w:pPr>
      <w:r>
        <w:t>12b. Interaction analysis used Firth logistic regression with cytology and HPV genotype.</w:t>
      </w:r>
    </w:p>
    <w:p w14:paraId="489E1CE3" w14:textId="77777777" w:rsidR="00750DF5" w:rsidRDefault="00750DF5" w:rsidP="00750DF5">
      <w:pPr>
        <w:pStyle w:val="ListNumber"/>
      </w:pPr>
      <w:r>
        <w:t>12c. Missing data were addressed through complete-case analysis.</w:t>
      </w:r>
    </w:p>
    <w:p w14:paraId="74C7007C" w14:textId="77777777" w:rsidR="00750DF5" w:rsidRDefault="00750DF5" w:rsidP="00750DF5">
      <w:pPr>
        <w:pStyle w:val="ListNumber"/>
      </w:pPr>
      <w:r>
        <w:t>12d. Not applicable (no sampling strategy).</w:t>
      </w:r>
    </w:p>
    <w:p w14:paraId="116A94F4" w14:textId="77777777" w:rsidR="00750DF5" w:rsidRDefault="00750DF5" w:rsidP="00750DF5">
      <w:pPr>
        <w:pStyle w:val="ListNumber"/>
      </w:pPr>
      <w:r>
        <w:t>12e. No sensitivity analyses were conducted.</w:t>
      </w:r>
    </w:p>
    <w:p w14:paraId="40E10A84" w14:textId="77777777" w:rsidR="00750DF5" w:rsidRDefault="00750DF5" w:rsidP="00750DF5">
      <w:pPr>
        <w:pStyle w:val="Heading2"/>
      </w:pPr>
      <w:r>
        <w:t>Results</w:t>
      </w:r>
    </w:p>
    <w:p w14:paraId="145D346F" w14:textId="77777777" w:rsidR="00750DF5" w:rsidRDefault="00750DF5" w:rsidP="00750DF5">
      <w:pPr>
        <w:pStyle w:val="ListNumber"/>
      </w:pPr>
      <w:r>
        <w:t>13a. Numbers at each stage are detailed in Figure 1, including exclusions and final sample.</w:t>
      </w:r>
    </w:p>
    <w:p w14:paraId="56B14EEE" w14:textId="77777777" w:rsidR="00750DF5" w:rsidRDefault="00750DF5" w:rsidP="00750DF5">
      <w:pPr>
        <w:pStyle w:val="ListNumber"/>
      </w:pPr>
      <w:r>
        <w:t>13b. Exclusion reasons include lack of ECC, visible lesions, incomplete data.</w:t>
      </w:r>
    </w:p>
    <w:p w14:paraId="6B2DDAAC" w14:textId="77777777" w:rsidR="00750DF5" w:rsidRDefault="00750DF5" w:rsidP="00750DF5">
      <w:pPr>
        <w:pStyle w:val="ListNumber"/>
      </w:pPr>
      <w:r>
        <w:lastRenderedPageBreak/>
        <w:t>13c. Flow diagram (Figure 1) included.</w:t>
      </w:r>
    </w:p>
    <w:p w14:paraId="592AECFF" w14:textId="77777777" w:rsidR="00750DF5" w:rsidRDefault="00750DF5" w:rsidP="00750DF5">
      <w:pPr>
        <w:pStyle w:val="ListNumber"/>
      </w:pPr>
      <w:r>
        <w:t>14a. Participant characteristics listed in Table 1.</w:t>
      </w:r>
    </w:p>
    <w:p w14:paraId="5ED2DDDC" w14:textId="77777777" w:rsidR="00750DF5" w:rsidRDefault="00750DF5" w:rsidP="00750DF5">
      <w:pPr>
        <w:pStyle w:val="ListNumber"/>
      </w:pPr>
      <w:r>
        <w:t>14b. Missing data explained; large exclusions due to missing HPV or cytology data.</w:t>
      </w:r>
    </w:p>
    <w:p w14:paraId="5A9617FD" w14:textId="77777777" w:rsidR="00750DF5" w:rsidRDefault="00750DF5" w:rsidP="00750DF5">
      <w:pPr>
        <w:pStyle w:val="ListNumber"/>
      </w:pPr>
      <w:r>
        <w:t>15. Outcome data (HSIL+) presented across subgroups (Tables 2–6).</w:t>
      </w:r>
    </w:p>
    <w:p w14:paraId="4B23214C" w14:textId="77777777" w:rsidR="00750DF5" w:rsidRDefault="00750DF5" w:rsidP="00750DF5">
      <w:pPr>
        <w:pStyle w:val="ListNumber"/>
      </w:pPr>
      <w:r>
        <w:t>16a. Unadjusted and adjusted odds ratios reported with 95% confidence intervals.</w:t>
      </w:r>
    </w:p>
    <w:p w14:paraId="1DC13907" w14:textId="77777777" w:rsidR="00750DF5" w:rsidRDefault="00750DF5" w:rsidP="00750DF5">
      <w:pPr>
        <w:pStyle w:val="ListNumber"/>
      </w:pPr>
      <w:r>
        <w:t>16b. Age stratified into &lt;55 and ≥55 years and further 5-year bands.</w:t>
      </w:r>
    </w:p>
    <w:p w14:paraId="18B581E9" w14:textId="77777777" w:rsidR="00750DF5" w:rsidRDefault="00750DF5" w:rsidP="00750DF5">
      <w:pPr>
        <w:pStyle w:val="ListNumber"/>
      </w:pPr>
      <w:r>
        <w:t>16c. Interpretation based on clinical thresholds (e.g., 4% CIN3+ per ASCCP).</w:t>
      </w:r>
    </w:p>
    <w:p w14:paraId="06457C3F" w14:textId="77777777" w:rsidR="00750DF5" w:rsidRDefault="00750DF5" w:rsidP="00750DF5">
      <w:pPr>
        <w:pStyle w:val="ListNumber"/>
      </w:pPr>
      <w:r>
        <w:t>17. Additional analyses include interaction terms and biopsy yield comparisons.</w:t>
      </w:r>
    </w:p>
    <w:p w14:paraId="32BC43FF" w14:textId="77777777" w:rsidR="00750DF5" w:rsidRDefault="00750DF5" w:rsidP="00750DF5">
      <w:pPr>
        <w:pStyle w:val="Heading2"/>
      </w:pPr>
      <w:r>
        <w:t>Discussion</w:t>
      </w:r>
    </w:p>
    <w:p w14:paraId="7B894F92" w14:textId="77777777" w:rsidR="00750DF5" w:rsidRDefault="00750DF5" w:rsidP="00750DF5">
      <w:pPr>
        <w:pStyle w:val="ListNumber"/>
      </w:pPr>
      <w:r>
        <w:t>18. Key results highlighted in the opening of Discussion.</w:t>
      </w:r>
    </w:p>
    <w:p w14:paraId="5DBE8E3F" w14:textId="77777777" w:rsidR="00750DF5" w:rsidRDefault="00750DF5" w:rsidP="00750DF5">
      <w:pPr>
        <w:pStyle w:val="ListNumber"/>
      </w:pPr>
      <w:r>
        <w:t>19. Limitations discussed, including generalizability and difficulty detecting lesions in TZ3.</w:t>
      </w:r>
    </w:p>
    <w:p w14:paraId="7263EA9D" w14:textId="77777777" w:rsidR="00750DF5" w:rsidRDefault="00750DF5" w:rsidP="00750DF5">
      <w:pPr>
        <w:pStyle w:val="ListNumber"/>
      </w:pPr>
      <w:r>
        <w:t>20. Interpretation considers limitations and relevance to clinical guidelines.</w:t>
      </w:r>
    </w:p>
    <w:p w14:paraId="7E2C802B" w14:textId="77777777" w:rsidR="00750DF5" w:rsidRDefault="00750DF5" w:rsidP="00750DF5">
      <w:pPr>
        <w:pStyle w:val="ListNumber"/>
      </w:pPr>
      <w:r>
        <w:t>21. Generalizability limited to similar high-volume screening settings.</w:t>
      </w:r>
    </w:p>
    <w:p w14:paraId="0C3DEA7C" w14:textId="77777777" w:rsidR="00750DF5" w:rsidRDefault="00750DF5" w:rsidP="00750DF5">
      <w:pPr>
        <w:pStyle w:val="Heading2"/>
      </w:pPr>
      <w:r>
        <w:t>Other Information</w:t>
      </w:r>
    </w:p>
    <w:p w14:paraId="33702D58" w14:textId="3E594A13" w:rsidR="006E29DE" w:rsidRDefault="00750DF5" w:rsidP="00750DF5">
      <w:r>
        <w:t xml:space="preserve">22. Funding: supported by internal grants. No AI tools used in study design, data analysis, or </w:t>
      </w:r>
      <w:proofErr w:type="gramStart"/>
      <w:r>
        <w:t>interpretation</w:t>
      </w:r>
      <w:proofErr w:type="gramEnd"/>
    </w:p>
    <w:sectPr w:rsidR="006E2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D6E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5977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F5"/>
    <w:rsid w:val="000076FE"/>
    <w:rsid w:val="000121A9"/>
    <w:rsid w:val="0001512F"/>
    <w:rsid w:val="00022A4F"/>
    <w:rsid w:val="0003531B"/>
    <w:rsid w:val="00051C83"/>
    <w:rsid w:val="0005244E"/>
    <w:rsid w:val="00054CCC"/>
    <w:rsid w:val="0005755E"/>
    <w:rsid w:val="0007134A"/>
    <w:rsid w:val="00091021"/>
    <w:rsid w:val="000936AA"/>
    <w:rsid w:val="000A61BC"/>
    <w:rsid w:val="000A71D1"/>
    <w:rsid w:val="000B725F"/>
    <w:rsid w:val="000C0285"/>
    <w:rsid w:val="000C066E"/>
    <w:rsid w:val="000C162C"/>
    <w:rsid w:val="000E540F"/>
    <w:rsid w:val="000E5C63"/>
    <w:rsid w:val="00102675"/>
    <w:rsid w:val="001051B6"/>
    <w:rsid w:val="0010627C"/>
    <w:rsid w:val="00115922"/>
    <w:rsid w:val="00117730"/>
    <w:rsid w:val="001203AD"/>
    <w:rsid w:val="00127868"/>
    <w:rsid w:val="0013202D"/>
    <w:rsid w:val="0013506C"/>
    <w:rsid w:val="00141D1C"/>
    <w:rsid w:val="00150B3E"/>
    <w:rsid w:val="001610C9"/>
    <w:rsid w:val="001647DC"/>
    <w:rsid w:val="00175C8A"/>
    <w:rsid w:val="001A29C0"/>
    <w:rsid w:val="001D30E7"/>
    <w:rsid w:val="001D59E2"/>
    <w:rsid w:val="001D62F9"/>
    <w:rsid w:val="001D6DA7"/>
    <w:rsid w:val="001F24C4"/>
    <w:rsid w:val="00217EF6"/>
    <w:rsid w:val="00223496"/>
    <w:rsid w:val="00246C85"/>
    <w:rsid w:val="002651C0"/>
    <w:rsid w:val="00266B8D"/>
    <w:rsid w:val="002948D6"/>
    <w:rsid w:val="002A7C1A"/>
    <w:rsid w:val="002B3EAE"/>
    <w:rsid w:val="002C1412"/>
    <w:rsid w:val="002C1DA7"/>
    <w:rsid w:val="002D4DF2"/>
    <w:rsid w:val="002F6098"/>
    <w:rsid w:val="002F73D5"/>
    <w:rsid w:val="00300F19"/>
    <w:rsid w:val="003117AE"/>
    <w:rsid w:val="003200F1"/>
    <w:rsid w:val="003245EC"/>
    <w:rsid w:val="00325FAF"/>
    <w:rsid w:val="0038398E"/>
    <w:rsid w:val="003A02D5"/>
    <w:rsid w:val="003A2767"/>
    <w:rsid w:val="003A2D33"/>
    <w:rsid w:val="003A443F"/>
    <w:rsid w:val="003A5882"/>
    <w:rsid w:val="003A5EEC"/>
    <w:rsid w:val="003B1CB8"/>
    <w:rsid w:val="003B686B"/>
    <w:rsid w:val="003B7C16"/>
    <w:rsid w:val="003D3A42"/>
    <w:rsid w:val="003D6153"/>
    <w:rsid w:val="003E1889"/>
    <w:rsid w:val="003F6628"/>
    <w:rsid w:val="00413357"/>
    <w:rsid w:val="00413D86"/>
    <w:rsid w:val="00417677"/>
    <w:rsid w:val="00423980"/>
    <w:rsid w:val="0043137C"/>
    <w:rsid w:val="004408BC"/>
    <w:rsid w:val="004426DA"/>
    <w:rsid w:val="0044738F"/>
    <w:rsid w:val="00474E80"/>
    <w:rsid w:val="00477A59"/>
    <w:rsid w:val="004A2E8B"/>
    <w:rsid w:val="004A3400"/>
    <w:rsid w:val="004B65D4"/>
    <w:rsid w:val="004C2820"/>
    <w:rsid w:val="004C2BB6"/>
    <w:rsid w:val="004C3867"/>
    <w:rsid w:val="004C5F5F"/>
    <w:rsid w:val="004D7174"/>
    <w:rsid w:val="004D7D77"/>
    <w:rsid w:val="004E785F"/>
    <w:rsid w:val="004F3122"/>
    <w:rsid w:val="00500985"/>
    <w:rsid w:val="0051240E"/>
    <w:rsid w:val="0051249F"/>
    <w:rsid w:val="0051489C"/>
    <w:rsid w:val="005218E6"/>
    <w:rsid w:val="00526C24"/>
    <w:rsid w:val="00531974"/>
    <w:rsid w:val="005358FD"/>
    <w:rsid w:val="00537E36"/>
    <w:rsid w:val="00547772"/>
    <w:rsid w:val="00556CCD"/>
    <w:rsid w:val="00562520"/>
    <w:rsid w:val="00563C05"/>
    <w:rsid w:val="0057023F"/>
    <w:rsid w:val="0057154A"/>
    <w:rsid w:val="005836C4"/>
    <w:rsid w:val="005849D5"/>
    <w:rsid w:val="005A4A8F"/>
    <w:rsid w:val="005B69FD"/>
    <w:rsid w:val="005D3D56"/>
    <w:rsid w:val="005D57DE"/>
    <w:rsid w:val="005E4080"/>
    <w:rsid w:val="005E475B"/>
    <w:rsid w:val="005F6E99"/>
    <w:rsid w:val="005F79BA"/>
    <w:rsid w:val="0060430F"/>
    <w:rsid w:val="006140D0"/>
    <w:rsid w:val="0061429E"/>
    <w:rsid w:val="006148C1"/>
    <w:rsid w:val="006206E4"/>
    <w:rsid w:val="00626C6E"/>
    <w:rsid w:val="0063795F"/>
    <w:rsid w:val="00640CFE"/>
    <w:rsid w:val="00664A69"/>
    <w:rsid w:val="006702B5"/>
    <w:rsid w:val="00683966"/>
    <w:rsid w:val="006871CA"/>
    <w:rsid w:val="00687262"/>
    <w:rsid w:val="006A5D29"/>
    <w:rsid w:val="006C7DD7"/>
    <w:rsid w:val="006D2A1D"/>
    <w:rsid w:val="006E093C"/>
    <w:rsid w:val="006E29DE"/>
    <w:rsid w:val="006F0A15"/>
    <w:rsid w:val="006F5A1C"/>
    <w:rsid w:val="00702D0A"/>
    <w:rsid w:val="00704253"/>
    <w:rsid w:val="00707ED3"/>
    <w:rsid w:val="0072169F"/>
    <w:rsid w:val="00742A7B"/>
    <w:rsid w:val="00743042"/>
    <w:rsid w:val="007441E0"/>
    <w:rsid w:val="00750DF5"/>
    <w:rsid w:val="00754C4B"/>
    <w:rsid w:val="00755927"/>
    <w:rsid w:val="007570A5"/>
    <w:rsid w:val="00776317"/>
    <w:rsid w:val="00781ADF"/>
    <w:rsid w:val="00792595"/>
    <w:rsid w:val="007A51D9"/>
    <w:rsid w:val="007A6126"/>
    <w:rsid w:val="007C561A"/>
    <w:rsid w:val="007D18E2"/>
    <w:rsid w:val="007D6DE3"/>
    <w:rsid w:val="007E5DAB"/>
    <w:rsid w:val="007F079B"/>
    <w:rsid w:val="007F2497"/>
    <w:rsid w:val="007F31F1"/>
    <w:rsid w:val="007F5A76"/>
    <w:rsid w:val="0080080F"/>
    <w:rsid w:val="00802B13"/>
    <w:rsid w:val="00811627"/>
    <w:rsid w:val="00823CC1"/>
    <w:rsid w:val="00830694"/>
    <w:rsid w:val="008311F5"/>
    <w:rsid w:val="0083157A"/>
    <w:rsid w:val="0085397D"/>
    <w:rsid w:val="008713EB"/>
    <w:rsid w:val="0087426B"/>
    <w:rsid w:val="008743B0"/>
    <w:rsid w:val="008757CE"/>
    <w:rsid w:val="00875D19"/>
    <w:rsid w:val="00882E28"/>
    <w:rsid w:val="00887229"/>
    <w:rsid w:val="00892440"/>
    <w:rsid w:val="0089257C"/>
    <w:rsid w:val="008B01E1"/>
    <w:rsid w:val="008B1B28"/>
    <w:rsid w:val="008B3028"/>
    <w:rsid w:val="008B5AA9"/>
    <w:rsid w:val="008C46F9"/>
    <w:rsid w:val="008E0C8C"/>
    <w:rsid w:val="008E46A1"/>
    <w:rsid w:val="009138D7"/>
    <w:rsid w:val="009178A7"/>
    <w:rsid w:val="009325E0"/>
    <w:rsid w:val="00934AC3"/>
    <w:rsid w:val="0094449F"/>
    <w:rsid w:val="00952D79"/>
    <w:rsid w:val="0096079A"/>
    <w:rsid w:val="00972C5C"/>
    <w:rsid w:val="00973E94"/>
    <w:rsid w:val="00980534"/>
    <w:rsid w:val="00981050"/>
    <w:rsid w:val="0098262C"/>
    <w:rsid w:val="00987B98"/>
    <w:rsid w:val="00990D1C"/>
    <w:rsid w:val="009A4188"/>
    <w:rsid w:val="009C19BD"/>
    <w:rsid w:val="009C3508"/>
    <w:rsid w:val="009C6A65"/>
    <w:rsid w:val="009C7DC1"/>
    <w:rsid w:val="009D0BF1"/>
    <w:rsid w:val="009D4F57"/>
    <w:rsid w:val="009D5645"/>
    <w:rsid w:val="009D74FF"/>
    <w:rsid w:val="009D7E25"/>
    <w:rsid w:val="009E59E1"/>
    <w:rsid w:val="009E7488"/>
    <w:rsid w:val="009F1861"/>
    <w:rsid w:val="009F7871"/>
    <w:rsid w:val="00A10B2F"/>
    <w:rsid w:val="00A14296"/>
    <w:rsid w:val="00A1604A"/>
    <w:rsid w:val="00A200C8"/>
    <w:rsid w:val="00A21E3D"/>
    <w:rsid w:val="00A3127C"/>
    <w:rsid w:val="00A337A6"/>
    <w:rsid w:val="00A35E4A"/>
    <w:rsid w:val="00A45155"/>
    <w:rsid w:val="00A45424"/>
    <w:rsid w:val="00A52A29"/>
    <w:rsid w:val="00A56D57"/>
    <w:rsid w:val="00A620F9"/>
    <w:rsid w:val="00A76BA3"/>
    <w:rsid w:val="00A92EC0"/>
    <w:rsid w:val="00A9348D"/>
    <w:rsid w:val="00AA2918"/>
    <w:rsid w:val="00AA6962"/>
    <w:rsid w:val="00AA6EB6"/>
    <w:rsid w:val="00AB3070"/>
    <w:rsid w:val="00AB7D72"/>
    <w:rsid w:val="00AC2E8B"/>
    <w:rsid w:val="00AD3624"/>
    <w:rsid w:val="00AD6967"/>
    <w:rsid w:val="00AE6DB3"/>
    <w:rsid w:val="00B0032D"/>
    <w:rsid w:val="00B21213"/>
    <w:rsid w:val="00B26AC9"/>
    <w:rsid w:val="00B27089"/>
    <w:rsid w:val="00B40321"/>
    <w:rsid w:val="00B4057D"/>
    <w:rsid w:val="00B74D70"/>
    <w:rsid w:val="00B82ADA"/>
    <w:rsid w:val="00B95C6E"/>
    <w:rsid w:val="00B96A1A"/>
    <w:rsid w:val="00BB7D71"/>
    <w:rsid w:val="00BC1C74"/>
    <w:rsid w:val="00BE034F"/>
    <w:rsid w:val="00C06BA1"/>
    <w:rsid w:val="00C2009F"/>
    <w:rsid w:val="00C24677"/>
    <w:rsid w:val="00C32A29"/>
    <w:rsid w:val="00C51CB2"/>
    <w:rsid w:val="00C612DC"/>
    <w:rsid w:val="00C66E68"/>
    <w:rsid w:val="00C72C37"/>
    <w:rsid w:val="00C9516B"/>
    <w:rsid w:val="00CA00F1"/>
    <w:rsid w:val="00CA39FE"/>
    <w:rsid w:val="00CA7D95"/>
    <w:rsid w:val="00CC3F02"/>
    <w:rsid w:val="00CC53B3"/>
    <w:rsid w:val="00CD6A1C"/>
    <w:rsid w:val="00CE7569"/>
    <w:rsid w:val="00CF0B12"/>
    <w:rsid w:val="00D034DE"/>
    <w:rsid w:val="00D0536D"/>
    <w:rsid w:val="00D060B2"/>
    <w:rsid w:val="00D1191D"/>
    <w:rsid w:val="00D16095"/>
    <w:rsid w:val="00D16316"/>
    <w:rsid w:val="00D3184F"/>
    <w:rsid w:val="00D53A04"/>
    <w:rsid w:val="00D61BC7"/>
    <w:rsid w:val="00D65C44"/>
    <w:rsid w:val="00D77C93"/>
    <w:rsid w:val="00D807C1"/>
    <w:rsid w:val="00D855F4"/>
    <w:rsid w:val="00D9178C"/>
    <w:rsid w:val="00D95B3D"/>
    <w:rsid w:val="00DA316C"/>
    <w:rsid w:val="00DB60F1"/>
    <w:rsid w:val="00DD00AD"/>
    <w:rsid w:val="00DD28B6"/>
    <w:rsid w:val="00DE3A90"/>
    <w:rsid w:val="00DF4D10"/>
    <w:rsid w:val="00E072BC"/>
    <w:rsid w:val="00E1554C"/>
    <w:rsid w:val="00E166F6"/>
    <w:rsid w:val="00E25469"/>
    <w:rsid w:val="00E307BE"/>
    <w:rsid w:val="00E36169"/>
    <w:rsid w:val="00E40852"/>
    <w:rsid w:val="00E5798C"/>
    <w:rsid w:val="00E6607B"/>
    <w:rsid w:val="00E71AF3"/>
    <w:rsid w:val="00E7281F"/>
    <w:rsid w:val="00E7648A"/>
    <w:rsid w:val="00E82BBC"/>
    <w:rsid w:val="00E907E1"/>
    <w:rsid w:val="00E94D4B"/>
    <w:rsid w:val="00E96CBD"/>
    <w:rsid w:val="00EA7EB0"/>
    <w:rsid w:val="00EB6CDB"/>
    <w:rsid w:val="00EC74FB"/>
    <w:rsid w:val="00EE4B36"/>
    <w:rsid w:val="00EE5151"/>
    <w:rsid w:val="00EE7A0D"/>
    <w:rsid w:val="00F00215"/>
    <w:rsid w:val="00F20A38"/>
    <w:rsid w:val="00F24EC5"/>
    <w:rsid w:val="00F265C4"/>
    <w:rsid w:val="00F540CE"/>
    <w:rsid w:val="00F706A6"/>
    <w:rsid w:val="00F73A80"/>
    <w:rsid w:val="00F75929"/>
    <w:rsid w:val="00F81F9F"/>
    <w:rsid w:val="00F827D1"/>
    <w:rsid w:val="00F82DD4"/>
    <w:rsid w:val="00F9062B"/>
    <w:rsid w:val="00FA4F11"/>
    <w:rsid w:val="00FC1419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C0BB6"/>
  <w15:chartTrackingRefBased/>
  <w15:docId w15:val="{3866BEAE-539C-544C-A0D3-9B207D5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vertAlign w:val="superscript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F5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:vertAlign w:val="baseline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D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D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D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D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D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D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0DF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5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DF5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750DF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NA1933</dc:creator>
  <cp:keywords/>
  <dc:description/>
  <cp:lastModifiedBy>NA1933</cp:lastModifiedBy>
  <cp:revision>1</cp:revision>
  <dcterms:created xsi:type="dcterms:W3CDTF">2025-07-14T13:13:00Z</dcterms:created>
  <dcterms:modified xsi:type="dcterms:W3CDTF">2025-07-14T13:13:00Z</dcterms:modified>
</cp:coreProperties>
</file>