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AAD3" w14:textId="0614029F" w:rsidR="00414F80" w:rsidRPr="003564D5" w:rsidRDefault="003564D5">
      <w:pPr>
        <w:rPr>
          <w:rFonts w:ascii="Times New Roman" w:hAnsi="Times New Roman" w:cs="Times New Roman"/>
        </w:rPr>
      </w:pPr>
      <w:r w:rsidRPr="003564D5">
        <w:rPr>
          <w:rFonts w:ascii="Times New Roman" w:hAnsi="Times New Roman" w:cs="Times New Roman"/>
          <w:b/>
          <w:bCs/>
          <w:sz w:val="32"/>
          <w:szCs w:val="32"/>
        </w:rPr>
        <w:t>Intended Audience</w:t>
      </w:r>
      <w:r w:rsidRPr="003564D5">
        <w:rPr>
          <w:rFonts w:ascii="Times New Roman" w:hAnsi="Times New Roman" w:cs="Times New Roman"/>
          <w:b/>
          <w:bCs/>
        </w:rPr>
        <w:br/>
      </w:r>
      <w:r w:rsidRPr="003564D5">
        <w:rPr>
          <w:rFonts w:ascii="Times New Roman" w:hAnsi="Times New Roman" w:cs="Times New Roman"/>
        </w:rPr>
        <w:br/>
      </w:r>
      <w:r w:rsidRPr="003564D5">
        <w:rPr>
          <w:rFonts w:ascii="Times New Roman" w:hAnsi="Times New Roman" w:cs="Times New Roman"/>
        </w:rPr>
        <w:t>This umbrella review is intended for a multidisciplinary audience that includes physiotherapists, rehabilitation specialists, clinicians managing knee osteoarthritis (KOA), researchers in musculoskeletal and rehabilitation sciences, and healthcare policymakers. The synthesized evidence aims to guide clinical decision-making, inform the development of standardized vibration therapy protocols, and identify gaps for future research to optimize nonpharmacological interventions in KOA rehabilitation.</w:t>
      </w:r>
    </w:p>
    <w:sectPr w:rsidR="00414F80" w:rsidRPr="003564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80"/>
    <w:rsid w:val="003564D5"/>
    <w:rsid w:val="00414F80"/>
    <w:rsid w:val="00FD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34D41"/>
  <w15:chartTrackingRefBased/>
  <w15:docId w15:val="{497FAA82-7BA2-4193-8CD7-CF623D6A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F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F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F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F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AZZUAN AHMAD</dc:creator>
  <cp:keywords/>
  <dc:description/>
  <cp:lastModifiedBy>MOHD AZZUAN AHMAD</cp:lastModifiedBy>
  <cp:revision>2</cp:revision>
  <dcterms:created xsi:type="dcterms:W3CDTF">2025-04-07T03:58:00Z</dcterms:created>
  <dcterms:modified xsi:type="dcterms:W3CDTF">2025-04-07T04:00:00Z</dcterms:modified>
</cp:coreProperties>
</file>