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F49" w:rsidRPr="00CD3F49" w:rsidRDefault="00CD3F49" w:rsidP="00CD3F49">
      <w:pPr>
        <w:widowControl/>
        <w:jc w:val="left"/>
        <w:rPr>
          <w:rFonts w:ascii="Georgia" w:eastAsia="宋体" w:hAnsi="Georgia" w:cs="宋体"/>
          <w:color w:val="1F1F1F"/>
          <w:kern w:val="0"/>
          <w:sz w:val="24"/>
        </w:rPr>
      </w:pPr>
      <w:r w:rsidRPr="00CD3F49">
        <w:rPr>
          <w:rFonts w:ascii="Georgia" w:eastAsia="宋体" w:hAnsi="Georgia" w:cs="宋体"/>
          <w:color w:val="1F1F1F"/>
          <w:kern w:val="0"/>
          <w:szCs w:val="21"/>
        </w:rPr>
        <w:t>Table 1</w:t>
      </w:r>
      <w:r w:rsidRPr="00CD3F49">
        <w:rPr>
          <w:rFonts w:ascii="Georgia" w:eastAsia="宋体" w:hAnsi="Georgia" w:cs="宋体"/>
          <w:color w:val="1F1F1F"/>
          <w:kern w:val="0"/>
          <w:sz w:val="24"/>
        </w:rPr>
        <w:t>. Features of Z-Alizadeh Sani dataset.</w:t>
      </w:r>
    </w:p>
    <w:tbl>
      <w:tblPr>
        <w:tblStyle w:val="af2"/>
        <w:tblW w:w="8213" w:type="dxa"/>
        <w:tblLook w:val="04A0" w:firstRow="1" w:lastRow="0" w:firstColumn="1" w:lastColumn="0" w:noHBand="0" w:noVBand="1"/>
      </w:tblPr>
      <w:tblGrid>
        <w:gridCol w:w="2074"/>
        <w:gridCol w:w="3706"/>
        <w:gridCol w:w="2433"/>
      </w:tblGrid>
      <w:tr w:rsidR="00CD3F49" w:rsidRPr="00CD3F49" w:rsidTr="00CF5544"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Feature type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Feature name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Range</w:t>
            </w:r>
          </w:p>
        </w:tc>
      </w:tr>
      <w:tr w:rsidR="00CD3F49" w:rsidRPr="00CD3F49" w:rsidTr="00CF5544">
        <w:tc>
          <w:tcPr>
            <w:tcW w:w="0" w:type="auto"/>
            <w:vMerge w:val="restart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Demographic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Age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30–86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Weight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48–120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Sex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Male, female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BMI (body mass index Kg/m2)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18–41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DM (Diabetes Mellitus)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HTN (hyper tension)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Current smoker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Ex-Smoker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FH (family history)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Obesity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CD3F49">
              <w:rPr>
                <w:rFonts w:ascii="宋体" w:eastAsia="宋体" w:hAnsi="宋体" w:cs="宋体"/>
                <w:kern w:val="0"/>
                <w:sz w:val="24"/>
              </w:rPr>
              <w:t>Yes</w:t>
            </w:r>
            <w:proofErr w:type="gramEnd"/>
            <w:r w:rsidRPr="00CD3F49">
              <w:rPr>
                <w:rFonts w:ascii="宋体" w:eastAsia="宋体" w:hAnsi="宋体" w:cs="宋体"/>
                <w:kern w:val="0"/>
                <w:sz w:val="24"/>
              </w:rPr>
              <w:t xml:space="preserve"> if MBI &gt; 25, no otherwise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CRF (chronic renal failure)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CVA (Cerebrovascular Accident)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Airway disease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Thyroid Disease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CHF (congestive heart failure)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DLP (Dyslipidemia)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gridSpan w:val="3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D3F49" w:rsidRPr="00CD3F49" w:rsidTr="00CF5544">
        <w:tc>
          <w:tcPr>
            <w:tcW w:w="0" w:type="auto"/>
            <w:vMerge w:val="restart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Symptom and examination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BP (blood pressure: mmHg)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90–190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PR (pulse rate) (ppm)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50–110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Edema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Weak peripheral pulse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Lung rales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Systolic murmur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Diastolic murmur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Typical Chest Pain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Dyspnea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Function class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1, 2, 3, 4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Atypical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Nonanginal CP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Exertional CP (Exertional Chest Pain)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Low Th Ang (low Threshold angina)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gridSpan w:val="3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D3F49" w:rsidRPr="00CD3F49" w:rsidTr="00CF5544">
        <w:tc>
          <w:tcPr>
            <w:tcW w:w="0" w:type="auto"/>
            <w:vMerge w:val="restart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ECG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Rhythm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Sin, AF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Q Wave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ST Elevation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ST Depression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T inversion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LVH (left ventricular hypertrophy)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Poor R progression (poor R wave progression)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Yes, no</w:t>
            </w:r>
          </w:p>
        </w:tc>
      </w:tr>
      <w:tr w:rsidR="00CD3F49" w:rsidRPr="00CD3F49" w:rsidTr="00CF5544">
        <w:tc>
          <w:tcPr>
            <w:tcW w:w="0" w:type="auto"/>
            <w:gridSpan w:val="3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D3F49" w:rsidRPr="00CD3F49" w:rsidTr="00CF5544">
        <w:tc>
          <w:tcPr>
            <w:tcW w:w="0" w:type="auto"/>
            <w:vMerge w:val="restart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Laboratory and echo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FBS (fasting blood sugar)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62–400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Cr (creatine)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0.5–2.2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TG (triglyceride)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37–1050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LDL (low density lipoprotein)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18–232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HDL (high density lipoprotein)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15–111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BUN (blood urea nitrogen) (mg/dl)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6–52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ESR (erythrocyte sedimentation rate) (mm/h)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1–90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HB (hemoglobin) (g/dl)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8.9–17.6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K (potassium) (</w:t>
            </w:r>
            <w:proofErr w:type="spellStart"/>
            <w:r w:rsidRPr="00CD3F49">
              <w:rPr>
                <w:rFonts w:ascii="宋体" w:eastAsia="宋体" w:hAnsi="宋体" w:cs="宋体"/>
                <w:kern w:val="0"/>
                <w:sz w:val="24"/>
              </w:rPr>
              <w:t>mEq</w:t>
            </w:r>
            <w:proofErr w:type="spellEnd"/>
            <w:r w:rsidRPr="00CD3F49">
              <w:rPr>
                <w:rFonts w:ascii="宋体" w:eastAsia="宋体" w:hAnsi="宋体" w:cs="宋体"/>
                <w:kern w:val="0"/>
                <w:sz w:val="24"/>
              </w:rPr>
              <w:t>/lit)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3.0–6.6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Na (sodium) (</w:t>
            </w:r>
            <w:proofErr w:type="spellStart"/>
            <w:r w:rsidRPr="00CD3F49">
              <w:rPr>
                <w:rFonts w:ascii="宋体" w:eastAsia="宋体" w:hAnsi="宋体" w:cs="宋体"/>
                <w:kern w:val="0"/>
                <w:sz w:val="24"/>
              </w:rPr>
              <w:t>mEq</w:t>
            </w:r>
            <w:proofErr w:type="spellEnd"/>
            <w:r w:rsidRPr="00CD3F49">
              <w:rPr>
                <w:rFonts w:ascii="宋体" w:eastAsia="宋体" w:hAnsi="宋体" w:cs="宋体"/>
                <w:kern w:val="0"/>
                <w:sz w:val="24"/>
              </w:rPr>
              <w:t>/lit)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128–156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WBC (white blood cell) (cells/ml)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3700–18,000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Lymph (Lymphocyte) (%)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7–60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CD3F49">
              <w:rPr>
                <w:rFonts w:ascii="宋体" w:eastAsia="宋体" w:hAnsi="宋体" w:cs="宋体"/>
                <w:kern w:val="0"/>
                <w:sz w:val="24"/>
              </w:rPr>
              <w:t>Neut</w:t>
            </w:r>
            <w:proofErr w:type="spellEnd"/>
            <w:r w:rsidRPr="00CD3F49">
              <w:rPr>
                <w:rFonts w:ascii="宋体" w:eastAsia="宋体" w:hAnsi="宋体" w:cs="宋体"/>
                <w:kern w:val="0"/>
                <w:sz w:val="24"/>
              </w:rPr>
              <w:t xml:space="preserve"> (neutrophil) (%)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32–89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PLT (platelet) (1000/ml)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25–742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EF (ejection fraction) (%)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15–60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Region with RWMA (regional wall motion abnormality)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0, 1, 2, 3, 4</w:t>
            </w:r>
          </w:p>
        </w:tc>
      </w:tr>
      <w:tr w:rsidR="00CD3F49" w:rsidRPr="00CD3F49" w:rsidTr="00CF5544">
        <w:tc>
          <w:tcPr>
            <w:tcW w:w="0" w:type="auto"/>
            <w:vMerge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VHD (valvular heart disease)</w:t>
            </w:r>
          </w:p>
        </w:tc>
        <w:tc>
          <w:tcPr>
            <w:tcW w:w="0" w:type="auto"/>
            <w:hideMark/>
          </w:tcPr>
          <w:p w:rsidR="00CD3F49" w:rsidRPr="00CD3F49" w:rsidRDefault="00CD3F49" w:rsidP="00CD3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3F49">
              <w:rPr>
                <w:rFonts w:ascii="宋体" w:eastAsia="宋体" w:hAnsi="宋体" w:cs="宋体"/>
                <w:kern w:val="0"/>
                <w:sz w:val="24"/>
              </w:rPr>
              <w:t>Normal, mild, moderate, severe</w:t>
            </w:r>
          </w:p>
        </w:tc>
      </w:tr>
    </w:tbl>
    <w:p w:rsidR="00CF5544" w:rsidRDefault="00CF5544" w:rsidP="00155E8D">
      <w:pPr>
        <w:widowControl/>
        <w:jc w:val="left"/>
        <w:rPr>
          <w:rFonts w:ascii="Georgia" w:eastAsia="宋体" w:hAnsi="Georgia" w:cs="宋体"/>
          <w:color w:val="1F1F1F"/>
          <w:kern w:val="0"/>
          <w:szCs w:val="21"/>
        </w:rPr>
      </w:pPr>
    </w:p>
    <w:p w:rsidR="00CF5544" w:rsidRDefault="00CF5544" w:rsidP="00155E8D">
      <w:pPr>
        <w:widowControl/>
        <w:jc w:val="left"/>
        <w:rPr>
          <w:rFonts w:ascii="Georgia" w:eastAsia="宋体" w:hAnsi="Georgia" w:cs="宋体"/>
          <w:color w:val="1F1F1F"/>
          <w:kern w:val="0"/>
          <w:szCs w:val="21"/>
        </w:rPr>
      </w:pPr>
    </w:p>
    <w:p w:rsidR="00F679FF" w:rsidRPr="00155E8D" w:rsidRDefault="00155E8D" w:rsidP="00155E8D">
      <w:pPr>
        <w:widowControl/>
        <w:jc w:val="left"/>
        <w:rPr>
          <w:rFonts w:ascii="Georgia" w:eastAsia="宋体" w:hAnsi="Georgia" w:cs="宋体" w:hint="eastAsia"/>
          <w:color w:val="1F1F1F"/>
          <w:kern w:val="0"/>
          <w:sz w:val="24"/>
        </w:rPr>
      </w:pPr>
      <w:r w:rsidRPr="00CD3F49">
        <w:rPr>
          <w:rFonts w:ascii="Georgia" w:eastAsia="宋体" w:hAnsi="Georgia" w:cs="宋体"/>
          <w:color w:val="1F1F1F"/>
          <w:kern w:val="0"/>
          <w:szCs w:val="21"/>
        </w:rPr>
        <w:t xml:space="preserve">Table </w:t>
      </w:r>
      <w:r>
        <w:rPr>
          <w:rFonts w:ascii="Georgia" w:eastAsia="宋体" w:hAnsi="Georgia" w:cs="宋体"/>
          <w:color w:val="1F1F1F"/>
          <w:kern w:val="0"/>
          <w:szCs w:val="21"/>
        </w:rPr>
        <w:t>2</w:t>
      </w:r>
      <w:r w:rsidRPr="00CD3F49">
        <w:rPr>
          <w:rFonts w:ascii="Georgia" w:eastAsia="宋体" w:hAnsi="Georgia" w:cs="宋体"/>
          <w:color w:val="1F1F1F"/>
          <w:kern w:val="0"/>
          <w:sz w:val="24"/>
        </w:rPr>
        <w:t xml:space="preserve">. Features of </w:t>
      </w:r>
      <w:r w:rsidRPr="00155E8D">
        <w:rPr>
          <w:rFonts w:ascii="Georgia" w:eastAsia="宋体" w:hAnsi="Georgia" w:cs="宋体"/>
          <w:color w:val="1F1F1F"/>
          <w:kern w:val="0"/>
          <w:sz w:val="24"/>
        </w:rPr>
        <w:t>Coronary Heart Disease</w:t>
      </w:r>
      <w:r w:rsidRPr="00CD3F49">
        <w:rPr>
          <w:rFonts w:ascii="Georgia" w:eastAsia="宋体" w:hAnsi="Georgia" w:cs="宋体"/>
          <w:color w:val="1F1F1F"/>
          <w:kern w:val="0"/>
          <w:sz w:val="24"/>
        </w:rPr>
        <w:t xml:space="preserve"> dataset.</w:t>
      </w: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Feature Name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Range   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Smoking     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no, yes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Drinking wine/alcohol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no, yes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Hypertension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no, yes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Diabetes    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no, yes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Cerebral infarction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no, yes                             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lastRenderedPageBreak/>
              <w:t>Payment method of hospitalization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At one’s own expense, Employee medical insurance, Resident medical insurance, Provincial medical insurance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Monthly household income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3,000 yuan and below, 3,001–5,000 yuan, </w:t>
            </w:r>
            <w:proofErr w:type="gramStart"/>
            <w:r w:rsidRPr="00533D22">
              <w:rPr>
                <w:rFonts w:ascii="宋体" w:eastAsia="宋体" w:hAnsi="宋体" w:cs="宋体"/>
                <w:kern w:val="0"/>
                <w:sz w:val="24"/>
              </w:rPr>
              <w:t>More</w:t>
            </w:r>
            <w:proofErr w:type="gramEnd"/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than 5,000 yuan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Marriage    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married, divorce, widowed, unmarried                                 </w:t>
            </w:r>
          </w:p>
        </w:tc>
      </w:tr>
      <w:tr w:rsidR="00533D22" w:rsidRPr="00533D22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Education level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Junior high school and below, High school and above                 </w:t>
            </w:r>
          </w:p>
        </w:tc>
      </w:tr>
      <w:tr w:rsidR="00533D22" w:rsidRPr="00646746" w:rsidTr="00155E8D">
        <w:tc>
          <w:tcPr>
            <w:tcW w:w="2263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Gender                           </w:t>
            </w:r>
          </w:p>
        </w:tc>
        <w:tc>
          <w:tcPr>
            <w:tcW w:w="6946" w:type="dxa"/>
          </w:tcPr>
          <w:p w:rsidR="00533D22" w:rsidRPr="00533D22" w:rsidRDefault="00533D22" w:rsidP="00326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33D22">
              <w:rPr>
                <w:rFonts w:ascii="宋体" w:eastAsia="宋体" w:hAnsi="宋体" w:cs="宋体"/>
                <w:kern w:val="0"/>
                <w:sz w:val="24"/>
              </w:rPr>
              <w:t xml:space="preserve"> Male, Female                                                        </w:t>
            </w:r>
          </w:p>
        </w:tc>
      </w:tr>
    </w:tbl>
    <w:p w:rsidR="00CF5544" w:rsidRDefault="00CF5544" w:rsidP="00CF5544">
      <w:pPr>
        <w:widowControl/>
        <w:jc w:val="left"/>
        <w:rPr>
          <w:rFonts w:ascii="Georgia" w:eastAsia="宋体" w:hAnsi="Georgia" w:cs="宋体"/>
          <w:color w:val="1F1F1F"/>
          <w:kern w:val="0"/>
          <w:szCs w:val="21"/>
        </w:rPr>
      </w:pPr>
    </w:p>
    <w:p w:rsidR="00CF5544" w:rsidRDefault="00CF5544" w:rsidP="00CF5544">
      <w:pPr>
        <w:widowControl/>
        <w:jc w:val="left"/>
        <w:rPr>
          <w:rFonts w:ascii="Georgia" w:eastAsia="宋体" w:hAnsi="Georgia" w:cs="宋体"/>
          <w:color w:val="1F1F1F"/>
          <w:kern w:val="0"/>
          <w:szCs w:val="21"/>
        </w:rPr>
      </w:pPr>
    </w:p>
    <w:p w:rsidR="00CD3F49" w:rsidRPr="00CF5544" w:rsidRDefault="00CF5544" w:rsidP="00CF5544">
      <w:pPr>
        <w:widowControl/>
        <w:jc w:val="left"/>
        <w:rPr>
          <w:rFonts w:ascii="Georgia" w:eastAsia="宋体" w:hAnsi="Georgia" w:cs="宋体" w:hint="eastAsia"/>
          <w:color w:val="1F1F1F"/>
          <w:kern w:val="0"/>
          <w:sz w:val="24"/>
        </w:rPr>
      </w:pPr>
      <w:r w:rsidRPr="00CD3F49">
        <w:rPr>
          <w:rFonts w:ascii="Georgia" w:eastAsia="宋体" w:hAnsi="Georgia" w:cs="宋体"/>
          <w:color w:val="1F1F1F"/>
          <w:kern w:val="0"/>
          <w:szCs w:val="21"/>
        </w:rPr>
        <w:t xml:space="preserve">Table </w:t>
      </w:r>
      <w:r>
        <w:rPr>
          <w:rFonts w:ascii="Georgia" w:eastAsia="宋体" w:hAnsi="Georgia" w:cs="宋体"/>
          <w:color w:val="1F1F1F"/>
          <w:kern w:val="0"/>
          <w:szCs w:val="21"/>
        </w:rPr>
        <w:t>3</w:t>
      </w:r>
      <w:r w:rsidRPr="00CD3F49">
        <w:rPr>
          <w:rFonts w:ascii="Georgia" w:eastAsia="宋体" w:hAnsi="Georgia" w:cs="宋体"/>
          <w:color w:val="1F1F1F"/>
          <w:kern w:val="0"/>
          <w:sz w:val="24"/>
        </w:rPr>
        <w:t xml:space="preserve">. Features of </w:t>
      </w:r>
      <w:r w:rsidR="007A136F" w:rsidRPr="007A136F">
        <w:rPr>
          <w:rFonts w:ascii="Georgia" w:eastAsia="宋体" w:hAnsi="Georgia" w:cs="宋体"/>
          <w:color w:val="1F1F1F"/>
          <w:kern w:val="0"/>
          <w:sz w:val="24"/>
        </w:rPr>
        <w:t>UCI Heart Disease Dataset</w:t>
      </w:r>
      <w:r w:rsidRPr="00CD3F49">
        <w:rPr>
          <w:rFonts w:ascii="Georgia" w:eastAsia="宋体" w:hAnsi="Georgia" w:cs="宋体"/>
          <w:color w:val="1F1F1F"/>
          <w:kern w:val="0"/>
          <w:sz w:val="24"/>
        </w:rPr>
        <w:t>.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072"/>
        <w:gridCol w:w="7421"/>
      </w:tblGrid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Feature Name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Range                                         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age 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Continuous value (e.g., </w:t>
            </w:r>
            <w:proofErr w:type="gramStart"/>
            <w:r w:rsidRPr="00DE576F">
              <w:t xml:space="preserve">years)   </w:t>
            </w:r>
            <w:proofErr w:type="gramEnd"/>
            <w:r w:rsidRPr="00DE576F">
              <w:t xml:space="preserve">            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sex 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Male, 0 = Female                         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cp  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Typical angina, 2 = Atypical angina, 3 = </w:t>
            </w:r>
            <w:proofErr w:type="gramStart"/>
            <w:r w:rsidRPr="00DE576F">
              <w:t>Non-anginal</w:t>
            </w:r>
            <w:proofErr w:type="gramEnd"/>
            <w:r w:rsidRPr="00DE576F">
              <w:t xml:space="preserve"> pain, 4 = Asymptomatic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trestbps</w:t>
            </w:r>
            <w:proofErr w:type="spellEnd"/>
            <w:r w:rsidRPr="00DE576F">
              <w:t xml:space="preserve">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Continuous value (Resting blood pressure in mm </w:t>
            </w:r>
            <w:proofErr w:type="gramStart"/>
            <w:r w:rsidRPr="00DE576F">
              <w:t xml:space="preserve">Hg)   </w:t>
            </w:r>
            <w:proofErr w:type="gramEnd"/>
            <w:r w:rsidRPr="00DE576F">
              <w:t xml:space="preserve">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chol</w:t>
            </w:r>
            <w:proofErr w:type="spellEnd"/>
            <w:r w:rsidRPr="00DE576F">
              <w:t xml:space="preserve">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Continuous value (Serum cholesterol in mg/dl)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fbs</w:t>
            </w:r>
            <w:proofErr w:type="spellEnd"/>
            <w:r w:rsidRPr="00DE576F">
              <w:t xml:space="preserve"> 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True (Fasting blood sugar &gt; 120 mg/dl), 0 = False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restecg</w:t>
            </w:r>
            <w:proofErr w:type="spellEnd"/>
            <w:r w:rsidRPr="00DE576F">
              <w:t xml:space="preserve">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0 = Normal, 1 = ST-T wave abnormality, 2 = Left ventricular hypertrophy (according to </w:t>
            </w:r>
            <w:proofErr w:type="gramStart"/>
            <w:r w:rsidRPr="00DE576F">
              <w:t xml:space="preserve">Estes)   </w:t>
            </w:r>
            <w:proofErr w:type="gramEnd"/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thalach</w:t>
            </w:r>
            <w:proofErr w:type="spellEnd"/>
            <w:r w:rsidRPr="00DE576F">
              <w:t xml:space="preserve">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Continuous value (Maximum heart rate </w:t>
            </w:r>
            <w:proofErr w:type="gramStart"/>
            <w:r w:rsidRPr="00DE576F">
              <w:t xml:space="preserve">achieved)   </w:t>
            </w:r>
            <w:proofErr w:type="gramEnd"/>
            <w:r w:rsidRPr="00DE576F">
              <w:t xml:space="preserve">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exang</w:t>
            </w:r>
            <w:proofErr w:type="spellEnd"/>
            <w:r w:rsidRPr="00DE576F">
              <w:t xml:space="preserve">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Yes (Exercise-induced angina), 0 = No    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proofErr w:type="spellStart"/>
            <w:r w:rsidRPr="00DE576F">
              <w:t>oldpeak</w:t>
            </w:r>
            <w:proofErr w:type="spellEnd"/>
            <w:r w:rsidRPr="00DE576F">
              <w:t xml:space="preserve">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Continuous value (ST depression induced by exercise relative to </w:t>
            </w:r>
            <w:proofErr w:type="gramStart"/>
            <w:r w:rsidRPr="00DE576F">
              <w:t xml:space="preserve">rest)   </w:t>
            </w:r>
            <w:proofErr w:type="gramEnd"/>
            <w:r w:rsidRPr="00DE576F">
              <w:t xml:space="preserve">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slope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Upsloping, 2 = Flat, 3 = </w:t>
            </w:r>
            <w:proofErr w:type="spellStart"/>
            <w:r w:rsidRPr="00DE576F">
              <w:t>Downsloping</w:t>
            </w:r>
            <w:proofErr w:type="spellEnd"/>
            <w:r w:rsidRPr="00DE576F">
              <w:t xml:space="preserve">               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ca  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0–3 (Number of major vessels colored by </w:t>
            </w:r>
            <w:proofErr w:type="gramStart"/>
            <w:r w:rsidRPr="00DE576F">
              <w:t xml:space="preserve">fluoroscopy)   </w:t>
            </w:r>
            <w:proofErr w:type="gramEnd"/>
            <w:r w:rsidRPr="00DE576F">
              <w:t xml:space="preserve">                                        </w:t>
            </w:r>
          </w:p>
        </w:tc>
      </w:tr>
      <w:tr w:rsidR="00DE576F" w:rsidRP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 </w:t>
            </w:r>
            <w:proofErr w:type="spellStart"/>
            <w:r w:rsidRPr="00DE576F">
              <w:t>thal</w:t>
            </w:r>
            <w:proofErr w:type="spellEnd"/>
            <w:r w:rsidRPr="00DE576F">
              <w:t xml:space="preserve">  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0 = Normal, 1 = Fixed defect, 2 = Reversible defect                                            </w:t>
            </w:r>
          </w:p>
        </w:tc>
      </w:tr>
      <w:tr w:rsidR="00DE576F" w:rsidTr="00CF5544">
        <w:tc>
          <w:tcPr>
            <w:tcW w:w="2072" w:type="dxa"/>
          </w:tcPr>
          <w:p w:rsidR="00DE576F" w:rsidRPr="00DE576F" w:rsidRDefault="00DE576F" w:rsidP="00F45C8D">
            <w:r w:rsidRPr="00DE576F">
              <w:t xml:space="preserve"> target              </w:t>
            </w:r>
          </w:p>
        </w:tc>
        <w:tc>
          <w:tcPr>
            <w:tcW w:w="7421" w:type="dxa"/>
          </w:tcPr>
          <w:p w:rsidR="00DE576F" w:rsidRPr="00DE576F" w:rsidRDefault="00DE576F" w:rsidP="00F45C8D">
            <w:r w:rsidRPr="00DE576F">
              <w:t xml:space="preserve"> 1 = Presence of heart disease, 0 = Absence of heart disease                                    </w:t>
            </w:r>
          </w:p>
        </w:tc>
      </w:tr>
    </w:tbl>
    <w:p w:rsidR="00DE576F" w:rsidRDefault="00DE576F" w:rsidP="00DE576F"/>
    <w:p w:rsidR="00CF5544" w:rsidRDefault="00CF5544" w:rsidP="00DE576F"/>
    <w:p w:rsidR="00CF5544" w:rsidRPr="007A136F" w:rsidRDefault="007A136F" w:rsidP="007A136F">
      <w:pPr>
        <w:widowControl/>
        <w:jc w:val="left"/>
        <w:rPr>
          <w:rFonts w:ascii="Georgia" w:eastAsia="宋体" w:hAnsi="Georgia" w:cs="宋体"/>
          <w:color w:val="1F1F1F"/>
          <w:kern w:val="0"/>
          <w:sz w:val="24"/>
        </w:rPr>
      </w:pPr>
      <w:r w:rsidRPr="007A136F">
        <w:rPr>
          <w:rFonts w:ascii="Georgia" w:eastAsia="宋体" w:hAnsi="Georgia" w:cs="宋体"/>
          <w:color w:val="1F1F1F"/>
          <w:kern w:val="0"/>
          <w:sz w:val="24"/>
        </w:rPr>
        <w:t>cardiovascular</w:t>
      </w:r>
    </w:p>
    <w:p w:rsidR="00CF5544" w:rsidRDefault="007A136F" w:rsidP="007A136F">
      <w:pPr>
        <w:widowControl/>
        <w:jc w:val="left"/>
        <w:rPr>
          <w:rFonts w:ascii="Georgia" w:eastAsia="宋体" w:hAnsi="Georgia" w:cs="宋体"/>
          <w:color w:val="1F1F1F"/>
          <w:kern w:val="0"/>
          <w:sz w:val="24"/>
        </w:rPr>
      </w:pPr>
      <w:r w:rsidRPr="007A136F">
        <w:rPr>
          <w:rFonts w:ascii="Georgia" w:eastAsia="宋体" w:hAnsi="Georgia" w:cs="宋体"/>
          <w:color w:val="1F1F1F"/>
          <w:kern w:val="0"/>
          <w:sz w:val="24"/>
        </w:rPr>
        <w:t>The original paper of the cardiovascular dataset has been thoroughly reviewed, but it does not mention the specific meanings of each category in the categorical features. Therefore, I am unable to display the exact correspondences.</w:t>
      </w:r>
    </w:p>
    <w:p w:rsidR="007A136F" w:rsidRPr="000603FE" w:rsidRDefault="007A136F" w:rsidP="007A136F">
      <w:pPr>
        <w:widowControl/>
        <w:jc w:val="left"/>
        <w:rPr>
          <w:rFonts w:ascii="Georgia" w:eastAsia="宋体" w:hAnsi="Georgia" w:cs="宋体"/>
          <w:color w:val="1F1F1F"/>
          <w:kern w:val="0"/>
          <w:sz w:val="24"/>
        </w:rPr>
      </w:pPr>
      <w:r>
        <w:rPr>
          <w:rFonts w:ascii="Georgia" w:eastAsia="宋体" w:hAnsi="Georgia" w:cs="宋体"/>
          <w:color w:val="1F1F1F"/>
          <w:kern w:val="0"/>
          <w:sz w:val="24"/>
        </w:rPr>
        <w:t>H</w:t>
      </w:r>
      <w:r>
        <w:rPr>
          <w:rFonts w:ascii="Georgia" w:eastAsia="宋体" w:hAnsi="Georgia" w:cs="宋体" w:hint="eastAsia"/>
          <w:color w:val="1F1F1F"/>
          <w:kern w:val="0"/>
          <w:sz w:val="24"/>
        </w:rPr>
        <w:t>ere</w:t>
      </w:r>
      <w:r>
        <w:rPr>
          <w:rFonts w:ascii="Georgia" w:eastAsia="宋体" w:hAnsi="Georgia" w:cs="宋体"/>
          <w:color w:val="1F1F1F"/>
          <w:kern w:val="0"/>
          <w:sz w:val="24"/>
        </w:rPr>
        <w:t xml:space="preserve"> is the </w:t>
      </w:r>
      <w:proofErr w:type="spellStart"/>
      <w:r>
        <w:rPr>
          <w:rFonts w:ascii="Georgia" w:eastAsia="宋体" w:hAnsi="Georgia" w:cs="宋体"/>
          <w:color w:val="1F1F1F"/>
          <w:kern w:val="0"/>
          <w:sz w:val="24"/>
        </w:rPr>
        <w:t>doi</w:t>
      </w:r>
      <w:proofErr w:type="spellEnd"/>
      <w:r>
        <w:rPr>
          <w:rFonts w:ascii="Georgia" w:eastAsia="宋体" w:hAnsi="Georgia" w:cs="宋体"/>
          <w:color w:val="1F1F1F"/>
          <w:kern w:val="0"/>
          <w:sz w:val="24"/>
        </w:rPr>
        <w:t xml:space="preserve"> of the </w:t>
      </w:r>
      <w:r w:rsidR="000603FE" w:rsidRPr="007A136F">
        <w:rPr>
          <w:rFonts w:ascii="Georgia" w:eastAsia="宋体" w:hAnsi="Georgia" w:cs="宋体"/>
          <w:color w:val="1F1F1F"/>
          <w:kern w:val="0"/>
          <w:sz w:val="24"/>
        </w:rPr>
        <w:t>original paper</w:t>
      </w:r>
      <w:r w:rsidR="000603FE">
        <w:rPr>
          <w:rFonts w:ascii="Georgia" w:eastAsia="宋体" w:hAnsi="Georgia" w:cs="宋体"/>
          <w:color w:val="1F1F1F"/>
          <w:kern w:val="0"/>
          <w:sz w:val="24"/>
        </w:rPr>
        <w:t>:</w:t>
      </w:r>
      <w:r w:rsidR="000603FE" w:rsidRPr="000603FE">
        <w:t xml:space="preserve"> </w:t>
      </w:r>
      <w:r w:rsidR="000603FE" w:rsidRPr="000603FE">
        <w:rPr>
          <w:rFonts w:ascii="Georgia" w:eastAsia="宋体" w:hAnsi="Georgia" w:cs="宋体"/>
          <w:color w:val="1F1F1F"/>
          <w:kern w:val="0"/>
          <w:sz w:val="24"/>
        </w:rPr>
        <w:t>https://doi.org/10.1371/journal.pone.0278217</w:t>
      </w:r>
    </w:p>
    <w:sectPr w:rsidR="007A136F" w:rsidRPr="000603FE" w:rsidSect="001912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49"/>
    <w:rsid w:val="000603FE"/>
    <w:rsid w:val="000C2E23"/>
    <w:rsid w:val="00155E8D"/>
    <w:rsid w:val="00191209"/>
    <w:rsid w:val="00533D22"/>
    <w:rsid w:val="00646746"/>
    <w:rsid w:val="007A136F"/>
    <w:rsid w:val="00812C95"/>
    <w:rsid w:val="008B11B0"/>
    <w:rsid w:val="009B7AD8"/>
    <w:rsid w:val="00A3036A"/>
    <w:rsid w:val="00CD3F49"/>
    <w:rsid w:val="00CF5544"/>
    <w:rsid w:val="00DE576F"/>
    <w:rsid w:val="00E64B69"/>
    <w:rsid w:val="00EF0CFA"/>
    <w:rsid w:val="00EF1843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E1040"/>
  <w15:chartTrackingRefBased/>
  <w15:docId w15:val="{4000C922-D884-6249-9B64-1996F90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F49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D3F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label">
    <w:name w:val="label"/>
    <w:basedOn w:val="a0"/>
    <w:rsid w:val="00CD3F49"/>
  </w:style>
  <w:style w:type="character" w:customStyle="1" w:styleId="apple-converted-space">
    <w:name w:val="apple-converted-space"/>
    <w:basedOn w:val="a0"/>
    <w:rsid w:val="00CD3F49"/>
  </w:style>
  <w:style w:type="character" w:styleId="af">
    <w:name w:val="Emphasis"/>
    <w:basedOn w:val="a0"/>
    <w:uiPriority w:val="20"/>
    <w:qFormat/>
    <w:rsid w:val="00CD3F49"/>
    <w:rPr>
      <w:i/>
      <w:iCs/>
    </w:rPr>
  </w:style>
  <w:style w:type="character" w:styleId="af0">
    <w:name w:val="Hyperlink"/>
    <w:basedOn w:val="a0"/>
    <w:uiPriority w:val="99"/>
    <w:semiHidden/>
    <w:unhideWhenUsed/>
    <w:rsid w:val="00CD3F49"/>
    <w:rPr>
      <w:color w:val="0000FF"/>
      <w:u w:val="single"/>
    </w:rPr>
  </w:style>
  <w:style w:type="character" w:styleId="af1">
    <w:name w:val="Strong"/>
    <w:basedOn w:val="a0"/>
    <w:uiPriority w:val="22"/>
    <w:qFormat/>
    <w:rsid w:val="00E64B69"/>
    <w:rPr>
      <w:b/>
      <w:bCs/>
    </w:rPr>
  </w:style>
  <w:style w:type="table" w:styleId="af2">
    <w:name w:val="Table Grid"/>
    <w:basedOn w:val="a1"/>
    <w:uiPriority w:val="39"/>
    <w:rsid w:val="00533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2024-12-09T03:34:00Z</dcterms:created>
  <dcterms:modified xsi:type="dcterms:W3CDTF">2024-12-09T12:05:00Z</dcterms:modified>
</cp:coreProperties>
</file>