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62BB7" w14:textId="7F9838E4" w:rsidR="00C41D95" w:rsidRDefault="00C41D95" w:rsidP="00C41D95">
      <w:pPr>
        <w:pStyle w:val="NoSpacing"/>
        <w:ind w:firstLine="720"/>
        <w:jc w:val="thaiDistribute"/>
        <w:rPr>
          <w:rFonts w:ascii="Times New Roman" w:hAnsi="Times New Roman"/>
          <w:b/>
          <w:bCs/>
          <w:sz w:val="21"/>
          <w:szCs w:val="21"/>
        </w:rPr>
      </w:pPr>
      <w:r w:rsidRPr="007550A4">
        <w:rPr>
          <w:rFonts w:ascii="Times" w:hAnsi="Times"/>
          <w:color w:val="000000" w:themeColor="text1"/>
          <w:szCs w:val="21"/>
        </w:rPr>
        <w:t xml:space="preserve">The preliminary study examined the correlation between macroeconomic indicators—such as the Consumer Price Index (CPI)—and financial indices, as shown in Table </w:t>
      </w:r>
      <w:r>
        <w:rPr>
          <w:rFonts w:ascii="Times" w:hAnsi="Times"/>
          <w:color w:val="000000" w:themeColor="text1"/>
          <w:szCs w:val="21"/>
        </w:rPr>
        <w:t>S5</w:t>
      </w:r>
      <w:r w:rsidRPr="007550A4">
        <w:rPr>
          <w:rFonts w:ascii="Times" w:hAnsi="Times"/>
          <w:color w:val="000000" w:themeColor="text1"/>
          <w:szCs w:val="21"/>
        </w:rPr>
        <w:t xml:space="preserve">. The macroeconomic indicators and financial index used in this study are available on the </w:t>
      </w:r>
      <w:hyperlink r:id="rId4" w:history="1">
        <w:r w:rsidRPr="007550A4">
          <w:rPr>
            <w:rStyle w:val="Hyperlink"/>
            <w:rFonts w:ascii="Times" w:hAnsi="Times"/>
            <w:color w:val="000000" w:themeColor="text1"/>
            <w:szCs w:val="21"/>
          </w:rPr>
          <w:t>Statistics South Africa website</w:t>
        </w:r>
      </w:hyperlink>
      <w:r w:rsidRPr="007550A4">
        <w:rPr>
          <w:rFonts w:ascii="Times" w:hAnsi="Times"/>
          <w:color w:val="000000" w:themeColor="text1"/>
          <w:szCs w:val="21"/>
        </w:rPr>
        <w:t xml:space="preserve"> and </w:t>
      </w:r>
      <w:hyperlink r:id="rId5" w:history="1">
        <w:r w:rsidRPr="007550A4">
          <w:rPr>
            <w:rStyle w:val="Hyperlink"/>
            <w:rFonts w:ascii="Times" w:hAnsi="Times"/>
            <w:color w:val="000000" w:themeColor="text1"/>
            <w:szCs w:val="21"/>
          </w:rPr>
          <w:t>South African Stock Market Index (SA40)</w:t>
        </w:r>
      </w:hyperlink>
      <w:r w:rsidRPr="007550A4">
        <w:rPr>
          <w:rFonts w:ascii="Times" w:hAnsi="Times"/>
          <w:color w:val="000000" w:themeColor="text1"/>
          <w:szCs w:val="21"/>
        </w:rPr>
        <w:t>.</w:t>
      </w:r>
    </w:p>
    <w:p w14:paraId="5301D541" w14:textId="77777777" w:rsidR="00C41D95" w:rsidRDefault="00C41D95" w:rsidP="000213D7">
      <w:pPr>
        <w:pStyle w:val="NoSpacing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10AE88A7" w14:textId="7417E039" w:rsidR="000213D7" w:rsidRPr="00C41D95" w:rsidRDefault="000213D7" w:rsidP="000213D7">
      <w:pPr>
        <w:pStyle w:val="NoSpacing"/>
        <w:jc w:val="center"/>
        <w:rPr>
          <w:rFonts w:ascii="Times New Roman" w:hAnsi="Times New Roman"/>
          <w:b/>
          <w:bCs/>
          <w:sz w:val="21"/>
          <w:szCs w:val="21"/>
        </w:rPr>
      </w:pPr>
      <w:r w:rsidRPr="00C41D95">
        <w:rPr>
          <w:rFonts w:ascii="Times New Roman" w:hAnsi="Times New Roman"/>
          <w:b/>
          <w:bCs/>
          <w:sz w:val="21"/>
          <w:szCs w:val="21"/>
        </w:rPr>
        <w:t xml:space="preserve">Table </w:t>
      </w:r>
      <w:r w:rsidR="00C41D95" w:rsidRPr="00C41D95">
        <w:rPr>
          <w:rFonts w:ascii="Times New Roman" w:hAnsi="Times New Roman"/>
          <w:b/>
          <w:bCs/>
          <w:sz w:val="21"/>
          <w:szCs w:val="21"/>
        </w:rPr>
        <w:t>S5</w:t>
      </w:r>
      <w:r w:rsidRPr="00C41D95">
        <w:rPr>
          <w:rFonts w:ascii="Times New Roman" w:hAnsi="Times New Roman"/>
          <w:b/>
          <w:bCs/>
          <w:sz w:val="21"/>
          <w:szCs w:val="21"/>
        </w:rPr>
        <w:t>. Correlation results of different datasets.</w:t>
      </w:r>
    </w:p>
    <w:p w14:paraId="12BD1CAD" w14:textId="77777777" w:rsidR="000213D7" w:rsidRPr="00C41D95" w:rsidRDefault="000213D7" w:rsidP="000213D7">
      <w:pPr>
        <w:pStyle w:val="NoSpacing"/>
        <w:jc w:val="center"/>
        <w:rPr>
          <w:rFonts w:ascii="Times New Roman" w:hAnsi="Times New Roman"/>
          <w:b/>
          <w:bCs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5"/>
        <w:gridCol w:w="808"/>
        <w:gridCol w:w="807"/>
        <w:gridCol w:w="808"/>
        <w:gridCol w:w="809"/>
        <w:gridCol w:w="809"/>
        <w:gridCol w:w="809"/>
        <w:gridCol w:w="809"/>
        <w:gridCol w:w="809"/>
      </w:tblGrid>
      <w:tr w:rsidR="000213D7" w:rsidRPr="00C41D95" w14:paraId="70BCA80A" w14:textId="77777777" w:rsidTr="000213D7">
        <w:trPr>
          <w:jc w:val="center"/>
        </w:trPr>
        <w:tc>
          <w:tcPr>
            <w:tcW w:w="1645" w:type="dxa"/>
            <w:gridSpan w:val="2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C01E08D" w14:textId="77777777" w:rsidR="000213D7" w:rsidRPr="00C41D95" w:rsidRDefault="000213D7" w:rsidP="00A00391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41D95">
              <w:rPr>
                <w:b/>
                <w:bCs/>
                <w:sz w:val="21"/>
                <w:szCs w:val="21"/>
              </w:rPr>
              <w:t>Correlation Matrix</w:t>
            </w:r>
          </w:p>
        </w:tc>
        <w:tc>
          <w:tcPr>
            <w:tcW w:w="4042" w:type="dxa"/>
            <w:gridSpan w:val="5"/>
            <w:shd w:val="clear" w:color="auto" w:fill="auto"/>
          </w:tcPr>
          <w:p w14:paraId="6F107AE7" w14:textId="77777777" w:rsidR="000213D7" w:rsidRPr="00C41D95" w:rsidRDefault="000213D7" w:rsidP="00A00391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41D95">
              <w:rPr>
                <w:b/>
                <w:bCs/>
                <w:sz w:val="21"/>
                <w:szCs w:val="21"/>
              </w:rPr>
              <w:t>South African Indices</w:t>
            </w:r>
          </w:p>
        </w:tc>
        <w:tc>
          <w:tcPr>
            <w:tcW w:w="16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647EF85" w14:textId="77777777" w:rsidR="000213D7" w:rsidRPr="00C41D95" w:rsidRDefault="000213D7" w:rsidP="00A00391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41D95">
              <w:rPr>
                <w:b/>
                <w:bCs/>
                <w:sz w:val="21"/>
                <w:szCs w:val="21"/>
              </w:rPr>
              <w:t>Global Indices</w:t>
            </w:r>
          </w:p>
        </w:tc>
      </w:tr>
      <w:tr w:rsidR="000213D7" w:rsidRPr="00C41D95" w14:paraId="54DA92D3" w14:textId="77777777" w:rsidTr="000213D7">
        <w:trPr>
          <w:jc w:val="center"/>
        </w:trPr>
        <w:tc>
          <w:tcPr>
            <w:tcW w:w="1645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08788F6" w14:textId="77777777" w:rsidR="000213D7" w:rsidRPr="00C41D95" w:rsidRDefault="000213D7" w:rsidP="00A00391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7" w:type="dxa"/>
            <w:shd w:val="clear" w:color="auto" w:fill="auto"/>
          </w:tcPr>
          <w:p w14:paraId="3A9E0CA0" w14:textId="77777777" w:rsidR="000213D7" w:rsidRPr="00C41D95" w:rsidRDefault="000213D7" w:rsidP="00A00391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41D95">
              <w:rPr>
                <w:b/>
                <w:bCs/>
                <w:sz w:val="21"/>
                <w:szCs w:val="21"/>
              </w:rPr>
              <w:t>CPI1</w:t>
            </w:r>
          </w:p>
        </w:tc>
        <w:tc>
          <w:tcPr>
            <w:tcW w:w="808" w:type="dxa"/>
            <w:shd w:val="clear" w:color="auto" w:fill="auto"/>
          </w:tcPr>
          <w:p w14:paraId="5C5725FF" w14:textId="77777777" w:rsidR="000213D7" w:rsidRPr="00C41D95" w:rsidRDefault="000213D7" w:rsidP="00A00391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41D95">
              <w:rPr>
                <w:b/>
                <w:bCs/>
                <w:sz w:val="21"/>
                <w:szCs w:val="21"/>
              </w:rPr>
              <w:t>CPI 2</w:t>
            </w:r>
          </w:p>
        </w:tc>
        <w:tc>
          <w:tcPr>
            <w:tcW w:w="809" w:type="dxa"/>
            <w:shd w:val="clear" w:color="auto" w:fill="auto"/>
          </w:tcPr>
          <w:p w14:paraId="1659999B" w14:textId="77777777" w:rsidR="000213D7" w:rsidRPr="00C41D95" w:rsidRDefault="000213D7" w:rsidP="00A00391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41D95">
              <w:rPr>
                <w:b/>
                <w:bCs/>
                <w:sz w:val="21"/>
                <w:szCs w:val="21"/>
              </w:rPr>
              <w:t>CPI3</w:t>
            </w:r>
          </w:p>
        </w:tc>
        <w:tc>
          <w:tcPr>
            <w:tcW w:w="809" w:type="dxa"/>
            <w:shd w:val="clear" w:color="auto" w:fill="auto"/>
          </w:tcPr>
          <w:p w14:paraId="06668D5A" w14:textId="77777777" w:rsidR="000213D7" w:rsidRPr="00C41D95" w:rsidRDefault="000213D7" w:rsidP="00A00391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41D95">
              <w:rPr>
                <w:b/>
                <w:bCs/>
                <w:sz w:val="21"/>
                <w:szCs w:val="21"/>
              </w:rPr>
              <w:t>CPI4</w:t>
            </w:r>
          </w:p>
        </w:tc>
        <w:tc>
          <w:tcPr>
            <w:tcW w:w="809" w:type="dxa"/>
            <w:shd w:val="clear" w:color="auto" w:fill="auto"/>
          </w:tcPr>
          <w:p w14:paraId="27497875" w14:textId="77777777" w:rsidR="000213D7" w:rsidRPr="00C41D95" w:rsidRDefault="000213D7" w:rsidP="00A00391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41D95">
              <w:rPr>
                <w:b/>
                <w:bCs/>
                <w:sz w:val="21"/>
                <w:szCs w:val="21"/>
              </w:rPr>
              <w:t>SA40</w:t>
            </w:r>
          </w:p>
        </w:tc>
        <w:tc>
          <w:tcPr>
            <w:tcW w:w="809" w:type="dxa"/>
            <w:shd w:val="clear" w:color="auto" w:fill="auto"/>
          </w:tcPr>
          <w:p w14:paraId="489EF446" w14:textId="77777777" w:rsidR="000213D7" w:rsidRPr="00C41D95" w:rsidRDefault="000213D7" w:rsidP="00A00391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41D95">
              <w:rPr>
                <w:b/>
                <w:bCs/>
                <w:sz w:val="21"/>
                <w:szCs w:val="21"/>
              </w:rPr>
              <w:t>DJIA</w:t>
            </w:r>
          </w:p>
        </w:tc>
        <w:tc>
          <w:tcPr>
            <w:tcW w:w="809" w:type="dxa"/>
            <w:tcBorders>
              <w:right w:val="nil"/>
            </w:tcBorders>
            <w:shd w:val="clear" w:color="auto" w:fill="auto"/>
          </w:tcPr>
          <w:p w14:paraId="150DFE1E" w14:textId="77777777" w:rsidR="000213D7" w:rsidRPr="00C41D95" w:rsidRDefault="000213D7" w:rsidP="00A00391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41D95">
              <w:rPr>
                <w:b/>
                <w:bCs/>
                <w:sz w:val="21"/>
                <w:szCs w:val="21"/>
              </w:rPr>
              <w:t>N225</w:t>
            </w:r>
          </w:p>
        </w:tc>
      </w:tr>
      <w:tr w:rsidR="000213D7" w:rsidRPr="00C41D95" w14:paraId="74CA8870" w14:textId="77777777" w:rsidTr="000213D7">
        <w:trPr>
          <w:jc w:val="center"/>
        </w:trPr>
        <w:tc>
          <w:tcPr>
            <w:tcW w:w="83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03F7EE5" w14:textId="77777777" w:rsidR="000213D7" w:rsidRPr="00C41D95" w:rsidRDefault="000213D7" w:rsidP="00A00391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41D95">
              <w:rPr>
                <w:b/>
                <w:bCs/>
                <w:sz w:val="21"/>
                <w:szCs w:val="21"/>
              </w:rPr>
              <w:t>South African Indices</w:t>
            </w:r>
          </w:p>
        </w:tc>
        <w:tc>
          <w:tcPr>
            <w:tcW w:w="808" w:type="dxa"/>
            <w:shd w:val="clear" w:color="auto" w:fill="auto"/>
          </w:tcPr>
          <w:p w14:paraId="7EF3F3A6" w14:textId="77777777" w:rsidR="000213D7" w:rsidRPr="00C41D95" w:rsidRDefault="000213D7" w:rsidP="00A00391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41D95">
              <w:rPr>
                <w:b/>
                <w:bCs/>
                <w:sz w:val="21"/>
                <w:szCs w:val="21"/>
              </w:rPr>
              <w:t>CPI1</w:t>
            </w:r>
          </w:p>
        </w:tc>
        <w:tc>
          <w:tcPr>
            <w:tcW w:w="807" w:type="dxa"/>
            <w:vAlign w:val="bottom"/>
          </w:tcPr>
          <w:p w14:paraId="6FD72D0D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1.000</w:t>
            </w:r>
          </w:p>
        </w:tc>
        <w:tc>
          <w:tcPr>
            <w:tcW w:w="808" w:type="dxa"/>
            <w:vAlign w:val="bottom"/>
          </w:tcPr>
          <w:p w14:paraId="2CE82E68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-0.961</w:t>
            </w:r>
          </w:p>
        </w:tc>
        <w:tc>
          <w:tcPr>
            <w:tcW w:w="809" w:type="dxa"/>
            <w:vAlign w:val="bottom"/>
          </w:tcPr>
          <w:p w14:paraId="624907CC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-0.845</w:t>
            </w:r>
          </w:p>
        </w:tc>
        <w:tc>
          <w:tcPr>
            <w:tcW w:w="809" w:type="dxa"/>
            <w:vAlign w:val="bottom"/>
          </w:tcPr>
          <w:p w14:paraId="26BD09E8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-0.437</w:t>
            </w:r>
          </w:p>
        </w:tc>
        <w:tc>
          <w:tcPr>
            <w:tcW w:w="809" w:type="dxa"/>
            <w:vAlign w:val="bottom"/>
          </w:tcPr>
          <w:p w14:paraId="3D31D93B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0.903</w:t>
            </w:r>
          </w:p>
        </w:tc>
        <w:tc>
          <w:tcPr>
            <w:tcW w:w="809" w:type="dxa"/>
            <w:vAlign w:val="bottom"/>
          </w:tcPr>
          <w:p w14:paraId="3C677F01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-0.599</w:t>
            </w:r>
          </w:p>
        </w:tc>
        <w:tc>
          <w:tcPr>
            <w:tcW w:w="809" w:type="dxa"/>
            <w:tcBorders>
              <w:right w:val="nil"/>
            </w:tcBorders>
            <w:vAlign w:val="bottom"/>
          </w:tcPr>
          <w:p w14:paraId="698029A5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-0.751</w:t>
            </w:r>
          </w:p>
        </w:tc>
      </w:tr>
      <w:tr w:rsidR="000213D7" w:rsidRPr="00C41D95" w14:paraId="3C5D3CF3" w14:textId="77777777" w:rsidTr="000213D7">
        <w:trPr>
          <w:jc w:val="center"/>
        </w:trPr>
        <w:tc>
          <w:tcPr>
            <w:tcW w:w="837" w:type="dxa"/>
            <w:vMerge/>
            <w:tcBorders>
              <w:left w:val="nil"/>
            </w:tcBorders>
            <w:shd w:val="clear" w:color="auto" w:fill="auto"/>
          </w:tcPr>
          <w:p w14:paraId="18E1274D" w14:textId="77777777" w:rsidR="000213D7" w:rsidRPr="00C41D95" w:rsidRDefault="000213D7" w:rsidP="00A0039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8" w:type="dxa"/>
            <w:shd w:val="clear" w:color="auto" w:fill="auto"/>
          </w:tcPr>
          <w:p w14:paraId="10AD7D22" w14:textId="77777777" w:rsidR="000213D7" w:rsidRPr="00C41D95" w:rsidRDefault="000213D7" w:rsidP="00A00391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41D95">
              <w:rPr>
                <w:b/>
                <w:bCs/>
                <w:sz w:val="21"/>
                <w:szCs w:val="21"/>
              </w:rPr>
              <w:t>CPI2</w:t>
            </w:r>
          </w:p>
        </w:tc>
        <w:tc>
          <w:tcPr>
            <w:tcW w:w="807" w:type="dxa"/>
            <w:vAlign w:val="bottom"/>
          </w:tcPr>
          <w:p w14:paraId="6AA631C1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-0.961</w:t>
            </w:r>
          </w:p>
        </w:tc>
        <w:tc>
          <w:tcPr>
            <w:tcW w:w="808" w:type="dxa"/>
            <w:vAlign w:val="bottom"/>
          </w:tcPr>
          <w:p w14:paraId="04CF9FFE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1.000</w:t>
            </w:r>
          </w:p>
        </w:tc>
        <w:tc>
          <w:tcPr>
            <w:tcW w:w="809" w:type="dxa"/>
            <w:vAlign w:val="bottom"/>
          </w:tcPr>
          <w:p w14:paraId="2C3995D0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0.859</w:t>
            </w:r>
          </w:p>
        </w:tc>
        <w:tc>
          <w:tcPr>
            <w:tcW w:w="809" w:type="dxa"/>
            <w:vAlign w:val="bottom"/>
          </w:tcPr>
          <w:p w14:paraId="38350B6E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0.398</w:t>
            </w:r>
          </w:p>
        </w:tc>
        <w:tc>
          <w:tcPr>
            <w:tcW w:w="809" w:type="dxa"/>
            <w:vAlign w:val="bottom"/>
          </w:tcPr>
          <w:p w14:paraId="66043DA5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-0.899</w:t>
            </w:r>
          </w:p>
        </w:tc>
        <w:tc>
          <w:tcPr>
            <w:tcW w:w="809" w:type="dxa"/>
            <w:vAlign w:val="bottom"/>
          </w:tcPr>
          <w:p w14:paraId="4BBDD61B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0.719</w:t>
            </w:r>
          </w:p>
        </w:tc>
        <w:tc>
          <w:tcPr>
            <w:tcW w:w="809" w:type="dxa"/>
            <w:tcBorders>
              <w:right w:val="nil"/>
            </w:tcBorders>
            <w:vAlign w:val="bottom"/>
          </w:tcPr>
          <w:p w14:paraId="4CCBAA9E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0.682</w:t>
            </w:r>
          </w:p>
        </w:tc>
      </w:tr>
      <w:tr w:rsidR="000213D7" w:rsidRPr="00C41D95" w14:paraId="1F30CA14" w14:textId="77777777" w:rsidTr="000213D7">
        <w:trPr>
          <w:jc w:val="center"/>
        </w:trPr>
        <w:tc>
          <w:tcPr>
            <w:tcW w:w="837" w:type="dxa"/>
            <w:vMerge/>
            <w:tcBorders>
              <w:left w:val="nil"/>
            </w:tcBorders>
            <w:shd w:val="clear" w:color="auto" w:fill="auto"/>
          </w:tcPr>
          <w:p w14:paraId="5FF8100A" w14:textId="77777777" w:rsidR="000213D7" w:rsidRPr="00C41D95" w:rsidRDefault="000213D7" w:rsidP="00A0039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8" w:type="dxa"/>
            <w:shd w:val="clear" w:color="auto" w:fill="auto"/>
          </w:tcPr>
          <w:p w14:paraId="4A8C40B3" w14:textId="77777777" w:rsidR="000213D7" w:rsidRPr="00C41D95" w:rsidRDefault="000213D7" w:rsidP="00A00391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41D95">
              <w:rPr>
                <w:b/>
                <w:bCs/>
                <w:sz w:val="21"/>
                <w:szCs w:val="21"/>
              </w:rPr>
              <w:t>CPI3</w:t>
            </w:r>
          </w:p>
        </w:tc>
        <w:tc>
          <w:tcPr>
            <w:tcW w:w="807" w:type="dxa"/>
            <w:vAlign w:val="bottom"/>
          </w:tcPr>
          <w:p w14:paraId="019AF08B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-0.845</w:t>
            </w:r>
          </w:p>
        </w:tc>
        <w:tc>
          <w:tcPr>
            <w:tcW w:w="808" w:type="dxa"/>
            <w:vAlign w:val="bottom"/>
          </w:tcPr>
          <w:p w14:paraId="300AABFC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0.859</w:t>
            </w:r>
          </w:p>
        </w:tc>
        <w:tc>
          <w:tcPr>
            <w:tcW w:w="809" w:type="dxa"/>
            <w:vAlign w:val="bottom"/>
          </w:tcPr>
          <w:p w14:paraId="2474B1D3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1.000</w:t>
            </w:r>
          </w:p>
        </w:tc>
        <w:tc>
          <w:tcPr>
            <w:tcW w:w="809" w:type="dxa"/>
            <w:vAlign w:val="bottom"/>
          </w:tcPr>
          <w:p w14:paraId="2BD6B160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0.647</w:t>
            </w:r>
          </w:p>
        </w:tc>
        <w:tc>
          <w:tcPr>
            <w:tcW w:w="809" w:type="dxa"/>
            <w:vAlign w:val="bottom"/>
          </w:tcPr>
          <w:p w14:paraId="665F772B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-0.816</w:t>
            </w:r>
          </w:p>
        </w:tc>
        <w:tc>
          <w:tcPr>
            <w:tcW w:w="809" w:type="dxa"/>
            <w:vAlign w:val="bottom"/>
          </w:tcPr>
          <w:p w14:paraId="776B9328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0.597</w:t>
            </w:r>
          </w:p>
        </w:tc>
        <w:tc>
          <w:tcPr>
            <w:tcW w:w="809" w:type="dxa"/>
            <w:tcBorders>
              <w:right w:val="nil"/>
            </w:tcBorders>
            <w:vAlign w:val="bottom"/>
          </w:tcPr>
          <w:p w14:paraId="74F968A7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0.395</w:t>
            </w:r>
          </w:p>
        </w:tc>
      </w:tr>
      <w:tr w:rsidR="000213D7" w:rsidRPr="00C41D95" w14:paraId="6814F151" w14:textId="77777777" w:rsidTr="000213D7">
        <w:trPr>
          <w:jc w:val="center"/>
        </w:trPr>
        <w:tc>
          <w:tcPr>
            <w:tcW w:w="837" w:type="dxa"/>
            <w:vMerge/>
            <w:tcBorders>
              <w:left w:val="nil"/>
            </w:tcBorders>
            <w:shd w:val="clear" w:color="auto" w:fill="auto"/>
          </w:tcPr>
          <w:p w14:paraId="2DC51B09" w14:textId="77777777" w:rsidR="000213D7" w:rsidRPr="00C41D95" w:rsidRDefault="000213D7" w:rsidP="00A0039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8" w:type="dxa"/>
            <w:shd w:val="clear" w:color="auto" w:fill="auto"/>
          </w:tcPr>
          <w:p w14:paraId="7DAB03D4" w14:textId="77777777" w:rsidR="000213D7" w:rsidRPr="00C41D95" w:rsidRDefault="000213D7" w:rsidP="00A00391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41D95">
              <w:rPr>
                <w:b/>
                <w:bCs/>
                <w:sz w:val="21"/>
                <w:szCs w:val="21"/>
              </w:rPr>
              <w:t>CPI4</w:t>
            </w:r>
          </w:p>
        </w:tc>
        <w:tc>
          <w:tcPr>
            <w:tcW w:w="807" w:type="dxa"/>
            <w:vAlign w:val="bottom"/>
          </w:tcPr>
          <w:p w14:paraId="24BEDADF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-0.437</w:t>
            </w:r>
          </w:p>
        </w:tc>
        <w:tc>
          <w:tcPr>
            <w:tcW w:w="808" w:type="dxa"/>
            <w:vAlign w:val="bottom"/>
          </w:tcPr>
          <w:p w14:paraId="48DF646B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0.398</w:t>
            </w:r>
          </w:p>
        </w:tc>
        <w:tc>
          <w:tcPr>
            <w:tcW w:w="809" w:type="dxa"/>
            <w:vAlign w:val="bottom"/>
          </w:tcPr>
          <w:p w14:paraId="3D1C3AAF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0.647</w:t>
            </w:r>
          </w:p>
        </w:tc>
        <w:tc>
          <w:tcPr>
            <w:tcW w:w="809" w:type="dxa"/>
            <w:vAlign w:val="bottom"/>
          </w:tcPr>
          <w:p w14:paraId="7F040EEE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1.000</w:t>
            </w:r>
          </w:p>
        </w:tc>
        <w:tc>
          <w:tcPr>
            <w:tcW w:w="809" w:type="dxa"/>
            <w:vAlign w:val="bottom"/>
          </w:tcPr>
          <w:p w14:paraId="59BDCBFA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-0.501</w:t>
            </w:r>
          </w:p>
        </w:tc>
        <w:tc>
          <w:tcPr>
            <w:tcW w:w="809" w:type="dxa"/>
            <w:vAlign w:val="bottom"/>
          </w:tcPr>
          <w:p w14:paraId="6147180D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0.368</w:t>
            </w:r>
          </w:p>
        </w:tc>
        <w:tc>
          <w:tcPr>
            <w:tcW w:w="809" w:type="dxa"/>
            <w:tcBorders>
              <w:right w:val="nil"/>
            </w:tcBorders>
            <w:vAlign w:val="bottom"/>
          </w:tcPr>
          <w:p w14:paraId="7F728994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-0.002</w:t>
            </w:r>
          </w:p>
        </w:tc>
      </w:tr>
      <w:tr w:rsidR="000213D7" w:rsidRPr="00C41D95" w14:paraId="408E80E5" w14:textId="77777777" w:rsidTr="000213D7">
        <w:trPr>
          <w:jc w:val="center"/>
        </w:trPr>
        <w:tc>
          <w:tcPr>
            <w:tcW w:w="837" w:type="dxa"/>
            <w:vMerge/>
            <w:tcBorders>
              <w:left w:val="nil"/>
            </w:tcBorders>
            <w:shd w:val="clear" w:color="auto" w:fill="auto"/>
          </w:tcPr>
          <w:p w14:paraId="067AA8B1" w14:textId="77777777" w:rsidR="000213D7" w:rsidRPr="00C41D95" w:rsidRDefault="000213D7" w:rsidP="00A00391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8" w:type="dxa"/>
            <w:shd w:val="clear" w:color="auto" w:fill="auto"/>
          </w:tcPr>
          <w:p w14:paraId="2AA62FDF" w14:textId="77777777" w:rsidR="000213D7" w:rsidRPr="00C41D95" w:rsidRDefault="000213D7" w:rsidP="00A00391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41D95">
              <w:rPr>
                <w:b/>
                <w:bCs/>
                <w:sz w:val="21"/>
                <w:szCs w:val="21"/>
              </w:rPr>
              <w:t>SA40</w:t>
            </w:r>
          </w:p>
        </w:tc>
        <w:tc>
          <w:tcPr>
            <w:tcW w:w="807" w:type="dxa"/>
            <w:vAlign w:val="bottom"/>
          </w:tcPr>
          <w:p w14:paraId="44873FE0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0.903</w:t>
            </w:r>
          </w:p>
        </w:tc>
        <w:tc>
          <w:tcPr>
            <w:tcW w:w="808" w:type="dxa"/>
            <w:vAlign w:val="bottom"/>
          </w:tcPr>
          <w:p w14:paraId="13AA4141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-0.899</w:t>
            </w:r>
          </w:p>
        </w:tc>
        <w:tc>
          <w:tcPr>
            <w:tcW w:w="809" w:type="dxa"/>
            <w:vAlign w:val="bottom"/>
          </w:tcPr>
          <w:p w14:paraId="05961C08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-0.816</w:t>
            </w:r>
          </w:p>
        </w:tc>
        <w:tc>
          <w:tcPr>
            <w:tcW w:w="809" w:type="dxa"/>
            <w:vAlign w:val="bottom"/>
          </w:tcPr>
          <w:p w14:paraId="6ABE01F8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-0.501</w:t>
            </w:r>
          </w:p>
        </w:tc>
        <w:tc>
          <w:tcPr>
            <w:tcW w:w="809" w:type="dxa"/>
            <w:vAlign w:val="bottom"/>
          </w:tcPr>
          <w:p w14:paraId="165E8799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1.000</w:t>
            </w:r>
          </w:p>
        </w:tc>
        <w:tc>
          <w:tcPr>
            <w:tcW w:w="809" w:type="dxa"/>
            <w:vAlign w:val="bottom"/>
          </w:tcPr>
          <w:p w14:paraId="4384BFC4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-0.624</w:t>
            </w:r>
          </w:p>
        </w:tc>
        <w:tc>
          <w:tcPr>
            <w:tcW w:w="809" w:type="dxa"/>
            <w:tcBorders>
              <w:right w:val="nil"/>
            </w:tcBorders>
            <w:vAlign w:val="bottom"/>
          </w:tcPr>
          <w:p w14:paraId="56BD8B1B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-0.623</w:t>
            </w:r>
          </w:p>
        </w:tc>
      </w:tr>
      <w:tr w:rsidR="000213D7" w:rsidRPr="00C41D95" w14:paraId="1608A222" w14:textId="77777777" w:rsidTr="000213D7">
        <w:trPr>
          <w:jc w:val="center"/>
        </w:trPr>
        <w:tc>
          <w:tcPr>
            <w:tcW w:w="83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5F3B539" w14:textId="77777777" w:rsidR="000213D7" w:rsidRPr="00C41D95" w:rsidRDefault="000213D7" w:rsidP="00A00391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41D95">
              <w:rPr>
                <w:b/>
                <w:bCs/>
                <w:sz w:val="21"/>
                <w:szCs w:val="21"/>
              </w:rPr>
              <w:t>Global Indices</w:t>
            </w:r>
          </w:p>
        </w:tc>
        <w:tc>
          <w:tcPr>
            <w:tcW w:w="808" w:type="dxa"/>
            <w:shd w:val="clear" w:color="auto" w:fill="auto"/>
          </w:tcPr>
          <w:p w14:paraId="617C11FD" w14:textId="77777777" w:rsidR="000213D7" w:rsidRPr="00C41D95" w:rsidRDefault="000213D7" w:rsidP="00A00391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41D95">
              <w:rPr>
                <w:b/>
                <w:bCs/>
                <w:sz w:val="21"/>
                <w:szCs w:val="21"/>
              </w:rPr>
              <w:t>DJIA</w:t>
            </w:r>
          </w:p>
        </w:tc>
        <w:tc>
          <w:tcPr>
            <w:tcW w:w="807" w:type="dxa"/>
            <w:vAlign w:val="bottom"/>
          </w:tcPr>
          <w:p w14:paraId="6FCAFF48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-0.599</w:t>
            </w:r>
          </w:p>
        </w:tc>
        <w:tc>
          <w:tcPr>
            <w:tcW w:w="808" w:type="dxa"/>
            <w:vAlign w:val="bottom"/>
          </w:tcPr>
          <w:p w14:paraId="59B06E55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0.719</w:t>
            </w:r>
          </w:p>
        </w:tc>
        <w:tc>
          <w:tcPr>
            <w:tcW w:w="809" w:type="dxa"/>
            <w:vAlign w:val="bottom"/>
          </w:tcPr>
          <w:p w14:paraId="60859269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0.597</w:t>
            </w:r>
          </w:p>
        </w:tc>
        <w:tc>
          <w:tcPr>
            <w:tcW w:w="809" w:type="dxa"/>
            <w:vAlign w:val="bottom"/>
          </w:tcPr>
          <w:p w14:paraId="7F4EB6AF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0.368</w:t>
            </w:r>
          </w:p>
        </w:tc>
        <w:tc>
          <w:tcPr>
            <w:tcW w:w="809" w:type="dxa"/>
            <w:vAlign w:val="bottom"/>
          </w:tcPr>
          <w:p w14:paraId="09C35109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-0.624</w:t>
            </w:r>
          </w:p>
        </w:tc>
        <w:tc>
          <w:tcPr>
            <w:tcW w:w="809" w:type="dxa"/>
            <w:vAlign w:val="bottom"/>
          </w:tcPr>
          <w:p w14:paraId="25088AAE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1.000</w:t>
            </w:r>
          </w:p>
        </w:tc>
        <w:tc>
          <w:tcPr>
            <w:tcW w:w="809" w:type="dxa"/>
            <w:tcBorders>
              <w:right w:val="nil"/>
            </w:tcBorders>
            <w:vAlign w:val="bottom"/>
          </w:tcPr>
          <w:p w14:paraId="53BD08D4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0.208</w:t>
            </w:r>
          </w:p>
        </w:tc>
      </w:tr>
      <w:tr w:rsidR="000213D7" w:rsidRPr="00C41D95" w14:paraId="5A2F09E5" w14:textId="77777777" w:rsidTr="000213D7">
        <w:trPr>
          <w:jc w:val="center"/>
        </w:trPr>
        <w:tc>
          <w:tcPr>
            <w:tcW w:w="837" w:type="dxa"/>
            <w:vMerge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440A227" w14:textId="77777777" w:rsidR="000213D7" w:rsidRPr="00C41D95" w:rsidRDefault="000213D7" w:rsidP="00A00391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14:paraId="1E99AE07" w14:textId="77777777" w:rsidR="000213D7" w:rsidRPr="00C41D95" w:rsidRDefault="000213D7" w:rsidP="00A00391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41D95">
              <w:rPr>
                <w:b/>
                <w:bCs/>
                <w:sz w:val="21"/>
                <w:szCs w:val="21"/>
              </w:rPr>
              <w:t>N225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bottom"/>
          </w:tcPr>
          <w:p w14:paraId="08B5FFB0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-0.751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bottom"/>
          </w:tcPr>
          <w:p w14:paraId="491EBECE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0.682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bottom"/>
          </w:tcPr>
          <w:p w14:paraId="3B8AC3B2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0.395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bottom"/>
          </w:tcPr>
          <w:p w14:paraId="55825BDB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-0.002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bottom"/>
          </w:tcPr>
          <w:p w14:paraId="050AB262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-0.623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bottom"/>
          </w:tcPr>
          <w:p w14:paraId="066A1A91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0.208</w:t>
            </w:r>
          </w:p>
        </w:tc>
        <w:tc>
          <w:tcPr>
            <w:tcW w:w="809" w:type="dxa"/>
            <w:tcBorders>
              <w:bottom w:val="single" w:sz="4" w:space="0" w:color="auto"/>
              <w:right w:val="nil"/>
            </w:tcBorders>
            <w:vAlign w:val="bottom"/>
          </w:tcPr>
          <w:p w14:paraId="2F89F2A9" w14:textId="77777777" w:rsidR="000213D7" w:rsidRPr="00C41D95" w:rsidRDefault="000213D7" w:rsidP="00A00391">
            <w:pPr>
              <w:ind w:firstLine="0"/>
              <w:jc w:val="center"/>
              <w:rPr>
                <w:sz w:val="21"/>
                <w:szCs w:val="21"/>
              </w:rPr>
            </w:pPr>
            <w:r w:rsidRPr="00C41D95">
              <w:rPr>
                <w:color w:val="1F1F1F"/>
                <w:sz w:val="21"/>
                <w:szCs w:val="21"/>
              </w:rPr>
              <w:t>1.000</w:t>
            </w:r>
          </w:p>
        </w:tc>
      </w:tr>
      <w:tr w:rsidR="000213D7" w:rsidRPr="00C41D95" w14:paraId="3CC9AB00" w14:textId="77777777" w:rsidTr="000213D7">
        <w:trPr>
          <w:jc w:val="center"/>
        </w:trPr>
        <w:tc>
          <w:tcPr>
            <w:tcW w:w="7305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599B817D" w14:textId="77777777" w:rsidR="000213D7" w:rsidRPr="00C41D95" w:rsidRDefault="000213D7" w:rsidP="00A00391">
            <w:pPr>
              <w:ind w:firstLine="0"/>
              <w:jc w:val="left"/>
              <w:rPr>
                <w:sz w:val="21"/>
                <w:szCs w:val="21"/>
              </w:rPr>
            </w:pPr>
            <w:r w:rsidRPr="00C41D95">
              <w:rPr>
                <w:sz w:val="21"/>
                <w:szCs w:val="21"/>
              </w:rPr>
              <w:t>CPI1 - CPI of Information Processing</w:t>
            </w:r>
            <w:r w:rsidRPr="00C41D95">
              <w:rPr>
                <w:sz w:val="21"/>
                <w:szCs w:val="21"/>
              </w:rPr>
              <w:tab/>
              <w:t>CPI2 - CPI of Financial Services</w:t>
            </w:r>
          </w:p>
          <w:p w14:paraId="3DC37672" w14:textId="6A23EF17" w:rsidR="000213D7" w:rsidRPr="00C41D95" w:rsidRDefault="000213D7" w:rsidP="00A00391">
            <w:pPr>
              <w:ind w:firstLine="0"/>
              <w:jc w:val="left"/>
              <w:rPr>
                <w:sz w:val="21"/>
                <w:szCs w:val="21"/>
              </w:rPr>
            </w:pPr>
            <w:r w:rsidRPr="00C41D95">
              <w:rPr>
                <w:sz w:val="21"/>
                <w:szCs w:val="21"/>
              </w:rPr>
              <w:t>CPI3 - CPI of Rice</w:t>
            </w:r>
            <w:r w:rsidRPr="00C41D95">
              <w:rPr>
                <w:sz w:val="21"/>
                <w:szCs w:val="21"/>
              </w:rPr>
              <w:tab/>
            </w:r>
            <w:r w:rsidRPr="00C41D95">
              <w:rPr>
                <w:sz w:val="21"/>
                <w:szCs w:val="21"/>
              </w:rPr>
              <w:tab/>
            </w:r>
            <w:r w:rsidRPr="00C41D95">
              <w:rPr>
                <w:sz w:val="21"/>
                <w:szCs w:val="21"/>
              </w:rPr>
              <w:tab/>
              <w:t>CPI4 - CPI of Tourist Income</w:t>
            </w:r>
          </w:p>
          <w:p w14:paraId="0EA3CBAF" w14:textId="77777777" w:rsidR="000213D7" w:rsidRPr="00C41D95" w:rsidRDefault="000213D7" w:rsidP="00A00391">
            <w:pPr>
              <w:ind w:firstLine="0"/>
              <w:jc w:val="left"/>
              <w:rPr>
                <w:sz w:val="21"/>
                <w:szCs w:val="21"/>
              </w:rPr>
            </w:pPr>
            <w:r w:rsidRPr="00C41D95">
              <w:rPr>
                <w:sz w:val="21"/>
                <w:szCs w:val="21"/>
              </w:rPr>
              <w:t>SA40 – South African Top 40 Index</w:t>
            </w:r>
          </w:p>
        </w:tc>
      </w:tr>
    </w:tbl>
    <w:p w14:paraId="37DC7C9E" w14:textId="77777777" w:rsidR="00D7255F" w:rsidRPr="00C41D95" w:rsidRDefault="00D7255F">
      <w:pPr>
        <w:rPr>
          <w:sz w:val="21"/>
          <w:szCs w:val="21"/>
        </w:rPr>
      </w:pPr>
    </w:p>
    <w:sectPr w:rsidR="00D7255F" w:rsidRPr="00C41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D7"/>
    <w:rsid w:val="000213D7"/>
    <w:rsid w:val="00193581"/>
    <w:rsid w:val="00352001"/>
    <w:rsid w:val="004914FC"/>
    <w:rsid w:val="00C41D95"/>
    <w:rsid w:val="00CC2785"/>
    <w:rsid w:val="00D7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BC7FF2"/>
  <w15:chartTrackingRefBased/>
  <w15:docId w15:val="{7BFC8A5C-A12A-384A-B171-5A3A4489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GB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D7"/>
    <w:pPr>
      <w:ind w:firstLine="284"/>
      <w:jc w:val="both"/>
    </w:pPr>
    <w:rPr>
      <w:rFonts w:ascii="Times New Roman" w:eastAsia="MS Mincho" w:hAnsi="Times New Roman" w:cs="Times New Roman"/>
      <w:kern w:val="0"/>
      <w:sz w:val="22"/>
      <w:szCs w:val="24"/>
      <w:lang w:val="en-US" w:eastAsia="ja-JP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3D7"/>
    <w:pPr>
      <w:keepNext/>
      <w:keepLines/>
      <w:spacing w:before="360" w:after="80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val="en-GB" w:eastAsia="en-US" w:bidi="th-TH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3D7"/>
    <w:pPr>
      <w:keepNext/>
      <w:keepLines/>
      <w:spacing w:before="160" w:after="80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val="en-GB" w:eastAsia="en-US" w:bidi="th-TH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3D7"/>
    <w:pPr>
      <w:keepNext/>
      <w:keepLines/>
      <w:spacing w:before="160" w:after="80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35"/>
      <w:lang w:val="en-GB" w:eastAsia="en-US" w:bidi="th-TH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3D7"/>
    <w:pPr>
      <w:keepNext/>
      <w:keepLines/>
      <w:spacing w:before="80" w:after="40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30"/>
      <w:lang w:val="en-GB" w:eastAsia="en-US" w:bidi="th-TH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3D7"/>
    <w:pPr>
      <w:keepNext/>
      <w:keepLines/>
      <w:spacing w:before="80" w:after="40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30"/>
      <w:lang w:val="en-GB" w:eastAsia="en-US" w:bidi="th-TH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3D7"/>
    <w:pPr>
      <w:keepNext/>
      <w:keepLines/>
      <w:spacing w:before="40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:lang w:val="en-GB" w:eastAsia="en-US" w:bidi="th-TH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3D7"/>
    <w:pPr>
      <w:keepNext/>
      <w:keepLines/>
      <w:spacing w:before="40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:lang w:val="en-GB" w:eastAsia="en-US" w:bidi="th-TH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3D7"/>
    <w:pPr>
      <w:keepNext/>
      <w:keepLines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:lang w:val="en-GB" w:eastAsia="en-US" w:bidi="th-TH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3D7"/>
    <w:pPr>
      <w:keepNext/>
      <w:keepLines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:lang w:val="en-GB" w:eastAsia="en-US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3D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3D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3D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3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3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3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3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3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3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3D7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71"/>
      <w:lang w:val="en-GB" w:eastAsia="en-US" w:bidi="th-TH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13D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3D7"/>
    <w:pPr>
      <w:numPr>
        <w:ilvl w:val="1"/>
      </w:numPr>
      <w:spacing w:after="160"/>
      <w:ind w:firstLine="284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val="en-GB" w:eastAsia="en-US" w:bidi="th-TH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13D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213D7"/>
    <w:pPr>
      <w:spacing w:before="160" w:after="160"/>
      <w:ind w:firstLine="0"/>
      <w:jc w:val="center"/>
    </w:pPr>
    <w:rPr>
      <w:rFonts w:asciiTheme="minorHAnsi" w:eastAsiaTheme="minorHAnsi" w:hAnsiTheme="minorHAnsi" w:cs="Angsana New"/>
      <w:i/>
      <w:iCs/>
      <w:color w:val="404040" w:themeColor="text1" w:themeTint="BF"/>
      <w:kern w:val="2"/>
      <w:sz w:val="24"/>
      <w:szCs w:val="30"/>
      <w:lang w:val="en-GB" w:eastAsia="en-US" w:bidi="th-TH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213D7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3D7"/>
    <w:pPr>
      <w:ind w:left="720" w:firstLine="0"/>
      <w:contextualSpacing/>
      <w:jc w:val="left"/>
    </w:pPr>
    <w:rPr>
      <w:rFonts w:asciiTheme="minorHAnsi" w:eastAsiaTheme="minorHAnsi" w:hAnsiTheme="minorHAnsi" w:cs="Angsana New"/>
      <w:kern w:val="2"/>
      <w:sz w:val="24"/>
      <w:szCs w:val="30"/>
      <w:lang w:val="en-GB" w:eastAsia="en-US" w:bidi="th-TH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213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 w:firstLine="0"/>
      <w:jc w:val="center"/>
    </w:pPr>
    <w:rPr>
      <w:rFonts w:asciiTheme="minorHAnsi" w:eastAsiaTheme="minorHAnsi" w:hAnsiTheme="minorHAnsi" w:cs="Angsana New"/>
      <w:i/>
      <w:iCs/>
      <w:color w:val="2F5496" w:themeColor="accent1" w:themeShade="BF"/>
      <w:kern w:val="2"/>
      <w:sz w:val="24"/>
      <w:szCs w:val="30"/>
      <w:lang w:val="en-GB" w:eastAsia="en-US" w:bidi="th-TH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3D7"/>
    <w:rPr>
      <w:rFonts w:cs="Angsana New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3D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213D7"/>
    <w:rPr>
      <w:rFonts w:ascii="Calibri" w:eastAsia="MS Mincho" w:hAnsi="Calibri" w:cs="Times New Roman"/>
      <w:kern w:val="0"/>
      <w:sz w:val="22"/>
      <w:szCs w:val="22"/>
      <w:lang w:val="en-US" w:bidi="ar-SA"/>
      <w14:ligatures w14:val="none"/>
    </w:rPr>
  </w:style>
  <w:style w:type="table" w:styleId="TableGrid">
    <w:name w:val="Table Grid"/>
    <w:basedOn w:val="TableNormal"/>
    <w:uiPriority w:val="39"/>
    <w:rsid w:val="000213D7"/>
    <w:rPr>
      <w:sz w:val="22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41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ggle.com/datasets/neilslab/south-africa-stock-market-data" TargetMode="External"/><Relationship Id="rId4" Type="http://schemas.openxmlformats.org/officeDocument/2006/relationships/hyperlink" Target="https://www.statssa.gov.za/?page_id=18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Ananta Sinchai</dc:creator>
  <cp:keywords/>
  <dc:description/>
  <cp:lastModifiedBy>Ananta Sinchai</cp:lastModifiedBy>
  <cp:revision>2</cp:revision>
  <dcterms:created xsi:type="dcterms:W3CDTF">2025-05-14T10:03:00Z</dcterms:created>
  <dcterms:modified xsi:type="dcterms:W3CDTF">2025-05-15T11:46:00Z</dcterms:modified>
</cp:coreProperties>
</file>