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4302" w14:textId="1680FDD1" w:rsidR="00046A9C" w:rsidRPr="00605297" w:rsidRDefault="00431DD0" w:rsidP="00046A9C">
      <w:pPr>
        <w:pStyle w:val="a3"/>
        <w:keepNext/>
        <w:tabs>
          <w:tab w:val="left" w:pos="1134"/>
        </w:tabs>
        <w:spacing w:after="24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6052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4C2E9A" w:rsidRPr="00605297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EB018A" w:rsidRPr="0060529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6052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46A9C" w:rsidRPr="0060529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Qualitative results for the PLAX view in echocardiograms </w:t>
      </w:r>
      <w:r w:rsidR="00046A9C" w:rsidRPr="0060529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>evaluated using the mean distance error</w:t>
      </w:r>
      <w:r w:rsidR="001F53E8" w:rsidRPr="0060529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(MDE)</w:t>
      </w:r>
      <w:r w:rsidR="00046A9C" w:rsidRPr="0060529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with</w:t>
      </w:r>
      <w:r w:rsidR="00046A9C" w:rsidRPr="0060529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different model-agnostic meta learning methods. </w:t>
      </w:r>
    </w:p>
    <w:tbl>
      <w:tblPr>
        <w:tblStyle w:val="a4"/>
        <w:tblW w:w="8942" w:type="dxa"/>
        <w:jc w:val="center"/>
        <w:tblLook w:val="04A0" w:firstRow="1" w:lastRow="0" w:firstColumn="1" w:lastColumn="0" w:noHBand="0" w:noVBand="1"/>
      </w:tblPr>
      <w:tblGrid>
        <w:gridCol w:w="677"/>
        <w:gridCol w:w="1439"/>
        <w:gridCol w:w="949"/>
        <w:gridCol w:w="1175"/>
        <w:gridCol w:w="1175"/>
        <w:gridCol w:w="1175"/>
        <w:gridCol w:w="1177"/>
        <w:gridCol w:w="1175"/>
      </w:tblGrid>
      <w:tr w:rsidR="00605297" w:rsidRPr="00605297" w14:paraId="79CD968C" w14:textId="77777777" w:rsidTr="007A2AD5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00F04255" w14:textId="77777777" w:rsidR="00DF656F" w:rsidRPr="00605297" w:rsidRDefault="00DF656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1C2D6590" w14:textId="77777777" w:rsidR="00DF656F" w:rsidRPr="00605297" w:rsidRDefault="00DF656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149DFF03" w14:textId="77777777" w:rsidR="00DF656F" w:rsidRPr="00605297" w:rsidRDefault="00DF656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Metric</w:t>
            </w:r>
          </w:p>
        </w:tc>
        <w:tc>
          <w:tcPr>
            <w:tcW w:w="5877" w:type="dxa"/>
            <w:gridSpan w:val="5"/>
            <w:vAlign w:val="center"/>
          </w:tcPr>
          <w:p w14:paraId="0C4CCFD3" w14:textId="7B44D2C0" w:rsidR="00DF656F" w:rsidRPr="00605297" w:rsidRDefault="00DF656F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P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LAX</w:t>
            </w:r>
            <w:r w:rsidRPr="00605297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8"/>
                <w:szCs w:val="18"/>
              </w:rPr>
              <w:t>(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</w:rPr>
              <w:t>EchoNet-LVH</w:t>
            </w:r>
            <w:r w:rsidR="00C27427" w:rsidRPr="00605297">
              <w:rPr>
                <w:rFonts w:eastAsia="바탕"/>
                <w:color w:val="000000" w:themeColor="text1"/>
                <w:sz w:val="18"/>
                <w:szCs w:val="18"/>
              </w:rPr>
              <w:fldChar w:fldCharType="begin"/>
            </w:r>
            <w:r w:rsidR="005B3A2F" w:rsidRPr="00605297">
              <w:rPr>
                <w:rFonts w:eastAsia="바탕"/>
                <w:color w:val="000000" w:themeColor="text1"/>
                <w:sz w:val="18"/>
                <w:szCs w:val="18"/>
              </w:rPr>
              <w:instrText xml:space="preserve"> ADDIN EN.CITE &lt;EndNote&gt;&lt;Cite&gt;&lt;Author&gt;Duffy&lt;/Author&gt;&lt;Year&gt;2022&lt;/Year&gt;&lt;RecNum&gt;10&lt;/RecNum&gt;&lt;DisplayText&gt;(Duffy et al. 2022)&lt;/DisplayText&gt;&lt;record&gt;&lt;rec-number&gt;10&lt;/rec-number&gt;&lt;foreign-keys&gt;&lt;key app="EN" db-id="9r0zwfve40wrt5eet05ve2rjxr9f9d5er0ft" timestamp="1713180758"&gt;10&lt;/key&gt;&lt;/foreign-keys&gt;&lt;ref-type name="Journal Article"&gt;17&lt;/ref-type&gt;&lt;contributors&gt;&lt;authors&gt;&lt;author&gt;Duffy, Grant&lt;/author&gt;&lt;author&gt;Cheng, Paul P&lt;/author&gt;&lt;author&gt;Yuan, Neal&lt;/author&gt;&lt;author&gt;He, Bryan&lt;/author&gt;&lt;author&gt;Kwan, Alan C&lt;/author&gt;&lt;author&gt;Shun-Shin, Matthew J&lt;/author&gt;&lt;author&gt;Alexander, Kevin M&lt;/author&gt;&lt;author&gt;Ebinger, Joseph&lt;/author&gt;&lt;author&gt;Lungren, Matthew P&lt;/author&gt;&lt;author&gt;Rader, Florian %J JAMA cardiology&lt;/author&gt;&lt;/authors&gt;&lt;/contributors&gt;&lt;titles&gt;&lt;title&gt;High-throughput precision phenotyping of left ventricular hypertrophy with cardiovascular deep learning&lt;/title&gt;&lt;/titles&gt;&lt;pages&gt;386-395&lt;/pages&gt;&lt;volume&gt;7&lt;/volume&gt;&lt;number&gt;4&lt;/number&gt;&lt;dates&gt;&lt;year&gt;2022&lt;/year&gt;&lt;/dates&gt;&lt;isbn&gt;2380-6583&lt;/isbn&gt;&lt;urls&gt;&lt;/urls&gt;&lt;/record&gt;&lt;/Cite&gt;&lt;/EndNote&gt;</w:instrText>
            </w:r>
            <w:r w:rsidR="00C27427" w:rsidRPr="00605297">
              <w:rPr>
                <w:rFonts w:eastAsia="바탕"/>
                <w:color w:val="000000" w:themeColor="text1"/>
                <w:sz w:val="18"/>
                <w:szCs w:val="18"/>
              </w:rPr>
              <w:fldChar w:fldCharType="separate"/>
            </w:r>
            <w:r w:rsidR="005B3A2F" w:rsidRPr="00605297">
              <w:rPr>
                <w:rFonts w:eastAsia="바탕"/>
                <w:noProof/>
                <w:color w:val="000000" w:themeColor="text1"/>
                <w:sz w:val="18"/>
                <w:szCs w:val="18"/>
              </w:rPr>
              <w:t>(Duffy et al. 2022)</w:t>
            </w:r>
            <w:r w:rsidR="00C27427" w:rsidRPr="00605297">
              <w:rPr>
                <w:rFonts w:eastAsia="바탕"/>
                <w:color w:val="000000" w:themeColor="text1"/>
                <w:sz w:val="18"/>
                <w:szCs w:val="18"/>
              </w:rPr>
              <w:fldChar w:fldCharType="end"/>
            </w:r>
            <w:r w:rsidRPr="00605297">
              <w:rPr>
                <w:rFonts w:eastAsia="바탕"/>
                <w:color w:val="000000" w:themeColor="text1"/>
                <w:sz w:val="18"/>
                <w:szCs w:val="18"/>
              </w:rPr>
              <w:t>)</w:t>
            </w:r>
          </w:p>
        </w:tc>
      </w:tr>
      <w:tr w:rsidR="00605297" w:rsidRPr="00605297" w14:paraId="11190A47" w14:textId="77777777" w:rsidTr="007A2AD5">
        <w:trPr>
          <w:trHeight w:val="263"/>
          <w:jc w:val="center"/>
        </w:trPr>
        <w:tc>
          <w:tcPr>
            <w:tcW w:w="677" w:type="dxa"/>
            <w:vMerge/>
            <w:vAlign w:val="center"/>
          </w:tcPr>
          <w:p w14:paraId="5F156697" w14:textId="77777777" w:rsidR="00DF656F" w:rsidRPr="00605297" w:rsidRDefault="00DF656F" w:rsidP="00DF656F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  <w:vAlign w:val="center"/>
          </w:tcPr>
          <w:p w14:paraId="530D9C7A" w14:textId="77777777" w:rsidR="00DF656F" w:rsidRPr="00605297" w:rsidRDefault="00DF656F" w:rsidP="00DF656F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49" w:type="dxa"/>
            <w:vMerge/>
            <w:vAlign w:val="center"/>
          </w:tcPr>
          <w:p w14:paraId="4C38C432" w14:textId="77777777" w:rsidR="00DF656F" w:rsidRPr="00605297" w:rsidRDefault="00DF656F" w:rsidP="00DF656F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75" w:type="dxa"/>
            <w:vAlign w:val="center"/>
          </w:tcPr>
          <w:p w14:paraId="4236E33D" w14:textId="38A4FDE8" w:rsidR="00DF656F" w:rsidRPr="00605297" w:rsidRDefault="00DF656F" w:rsidP="00DF656F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st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38CB7DC4" w14:textId="165C81F7" w:rsidR="00DF656F" w:rsidRPr="00605297" w:rsidRDefault="00DF656F" w:rsidP="00DF656F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nd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71A4AC9B" w14:textId="755D903C" w:rsidR="00DF656F" w:rsidRPr="00605297" w:rsidRDefault="00DF656F" w:rsidP="00DF656F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3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rd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7" w:type="dxa"/>
            <w:vAlign w:val="center"/>
          </w:tcPr>
          <w:p w14:paraId="557E9F6F" w14:textId="2E26B495" w:rsidR="00DF656F" w:rsidRPr="00605297" w:rsidRDefault="003A45DD" w:rsidP="00DF656F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4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th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75B7392B" w14:textId="77777777" w:rsidR="00DF656F" w:rsidRPr="00605297" w:rsidRDefault="00DF656F" w:rsidP="00DF656F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605297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vg.</w:t>
            </w:r>
          </w:p>
        </w:tc>
      </w:tr>
      <w:tr w:rsidR="00605297" w:rsidRPr="00605297" w14:paraId="47DC4FD0" w14:textId="77777777" w:rsidTr="007A2AD5">
        <w:trPr>
          <w:trHeight w:val="277"/>
          <w:jc w:val="center"/>
        </w:trPr>
        <w:tc>
          <w:tcPr>
            <w:tcW w:w="677" w:type="dxa"/>
            <w:vAlign w:val="center"/>
          </w:tcPr>
          <w:p w14:paraId="08AC0FC0" w14:textId="77777777" w:rsidR="003A45DD" w:rsidRPr="00605297" w:rsidRDefault="003A45DD" w:rsidP="003A45D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1439" w:type="dxa"/>
            <w:vAlign w:val="center"/>
          </w:tcPr>
          <w:p w14:paraId="4BE4F6F1" w14:textId="77777777" w:rsidR="003A45DD" w:rsidRPr="00605297" w:rsidRDefault="003A45DD" w:rsidP="003A45D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B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aseline</w:t>
            </w:r>
          </w:p>
        </w:tc>
        <w:tc>
          <w:tcPr>
            <w:tcW w:w="949" w:type="dxa"/>
            <w:vAlign w:val="center"/>
          </w:tcPr>
          <w:p w14:paraId="29E24C40" w14:textId="77777777" w:rsidR="003A45DD" w:rsidRPr="00605297" w:rsidRDefault="003A45DD" w:rsidP="003A45D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DE </w:t>
            </w:r>
          </w:p>
        </w:tc>
        <w:tc>
          <w:tcPr>
            <w:tcW w:w="1175" w:type="dxa"/>
            <w:vAlign w:val="center"/>
          </w:tcPr>
          <w:p w14:paraId="1533D543" w14:textId="05EBC308" w:rsidR="003A45DD" w:rsidRPr="00605297" w:rsidRDefault="003A45DD" w:rsidP="003A45D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4.19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4.05</w:t>
            </w:r>
          </w:p>
        </w:tc>
        <w:tc>
          <w:tcPr>
            <w:tcW w:w="1175" w:type="dxa"/>
            <w:vAlign w:val="center"/>
          </w:tcPr>
          <w:p w14:paraId="6993FEC7" w14:textId="40A5C480" w:rsidR="003A45DD" w:rsidRPr="00605297" w:rsidRDefault="003A45DD" w:rsidP="003A45D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4.51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4.03</w:t>
            </w:r>
          </w:p>
        </w:tc>
        <w:tc>
          <w:tcPr>
            <w:tcW w:w="1175" w:type="dxa"/>
            <w:vAlign w:val="center"/>
          </w:tcPr>
          <w:p w14:paraId="6DA1F5BA" w14:textId="32703DFD" w:rsidR="003A45DD" w:rsidRPr="00605297" w:rsidRDefault="003A45DD" w:rsidP="003A45D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5.27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3.58</w:t>
            </w:r>
          </w:p>
        </w:tc>
        <w:tc>
          <w:tcPr>
            <w:tcW w:w="1177" w:type="dxa"/>
            <w:vAlign w:val="center"/>
          </w:tcPr>
          <w:p w14:paraId="795CCDD0" w14:textId="1706E46F" w:rsidR="003A45DD" w:rsidRPr="00605297" w:rsidRDefault="003A45DD" w:rsidP="003A45D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6.48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3.81</w:t>
            </w:r>
          </w:p>
        </w:tc>
        <w:tc>
          <w:tcPr>
            <w:tcW w:w="1175" w:type="dxa"/>
            <w:vAlign w:val="center"/>
          </w:tcPr>
          <w:p w14:paraId="78509E78" w14:textId="6E1EFCCE" w:rsidR="003A45DD" w:rsidRPr="00605297" w:rsidRDefault="003A45DD" w:rsidP="003A45D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5.11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3.96</w:t>
            </w:r>
          </w:p>
        </w:tc>
      </w:tr>
      <w:tr w:rsidR="00605297" w:rsidRPr="00605297" w14:paraId="0763EE00" w14:textId="77777777" w:rsidTr="007A2AD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504D657E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439" w:type="dxa"/>
            <w:vAlign w:val="center"/>
          </w:tcPr>
          <w:p w14:paraId="479F8B71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443B74A1" w14:textId="57C1F9F8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7F626DF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120F1761" w14:textId="666F14D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7.74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11.66</w:t>
            </w:r>
          </w:p>
        </w:tc>
        <w:tc>
          <w:tcPr>
            <w:tcW w:w="1175" w:type="dxa"/>
            <w:vAlign w:val="center"/>
          </w:tcPr>
          <w:p w14:paraId="793DFF71" w14:textId="4E7F757D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6.98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9.14</w:t>
            </w:r>
          </w:p>
        </w:tc>
        <w:tc>
          <w:tcPr>
            <w:tcW w:w="1175" w:type="dxa"/>
            <w:vAlign w:val="center"/>
          </w:tcPr>
          <w:p w14:paraId="5A7D885C" w14:textId="0ACB2025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7.45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4.84</w:t>
            </w:r>
          </w:p>
        </w:tc>
        <w:tc>
          <w:tcPr>
            <w:tcW w:w="1177" w:type="dxa"/>
            <w:vAlign w:val="center"/>
          </w:tcPr>
          <w:p w14:paraId="1CE52A6F" w14:textId="2D9CD5DA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7.38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4.83</w:t>
            </w:r>
          </w:p>
        </w:tc>
        <w:tc>
          <w:tcPr>
            <w:tcW w:w="1175" w:type="dxa"/>
            <w:vAlign w:val="center"/>
          </w:tcPr>
          <w:p w14:paraId="1E99A537" w14:textId="5519AB9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7.39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8.13</w:t>
            </w:r>
          </w:p>
        </w:tc>
      </w:tr>
      <w:tr w:rsidR="00605297" w:rsidRPr="00605297" w14:paraId="58A07CEB" w14:textId="77777777" w:rsidTr="007A2AD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5B25E6E8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9941E86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58182706" w14:textId="4EB53A8D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19DFBBB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5546775B" w14:textId="790445A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5.64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4.28</w:t>
            </w:r>
          </w:p>
        </w:tc>
        <w:tc>
          <w:tcPr>
            <w:tcW w:w="1175" w:type="dxa"/>
            <w:vAlign w:val="center"/>
          </w:tcPr>
          <w:p w14:paraId="14CEF3A7" w14:textId="33F10DE8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6.67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3.79</w:t>
            </w:r>
          </w:p>
        </w:tc>
        <w:tc>
          <w:tcPr>
            <w:tcW w:w="1175" w:type="dxa"/>
            <w:vAlign w:val="center"/>
          </w:tcPr>
          <w:p w14:paraId="6266026A" w14:textId="41AF48E2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7.83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5.23</w:t>
            </w:r>
          </w:p>
        </w:tc>
        <w:tc>
          <w:tcPr>
            <w:tcW w:w="1177" w:type="dxa"/>
            <w:vAlign w:val="center"/>
          </w:tcPr>
          <w:p w14:paraId="7E7797E9" w14:textId="7C8BEA81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7.30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5.06</w:t>
            </w:r>
          </w:p>
        </w:tc>
        <w:tc>
          <w:tcPr>
            <w:tcW w:w="1175" w:type="dxa"/>
            <w:vAlign w:val="center"/>
          </w:tcPr>
          <w:p w14:paraId="4D0BCC11" w14:textId="18500804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6.86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4.68</w:t>
            </w:r>
          </w:p>
        </w:tc>
      </w:tr>
      <w:tr w:rsidR="00605297" w:rsidRPr="00605297" w14:paraId="0FD862FE" w14:textId="77777777" w:rsidTr="007A2AD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30AD71C4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5BDFEF6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08F2308B" w14:textId="6263B25A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E3CEAC9" w14:textId="77777777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09FE1903" w14:textId="3C8AEFC5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5.31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4.60</w:t>
            </w:r>
          </w:p>
        </w:tc>
        <w:tc>
          <w:tcPr>
            <w:tcW w:w="1175" w:type="dxa"/>
            <w:vAlign w:val="center"/>
          </w:tcPr>
          <w:p w14:paraId="1207F3E5" w14:textId="391D225F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6.42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6.04</w:t>
            </w:r>
          </w:p>
        </w:tc>
        <w:tc>
          <w:tcPr>
            <w:tcW w:w="1175" w:type="dxa"/>
            <w:vAlign w:val="center"/>
          </w:tcPr>
          <w:p w14:paraId="5624479F" w14:textId="2DBC6D21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8.58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4.93</w:t>
            </w:r>
          </w:p>
        </w:tc>
        <w:tc>
          <w:tcPr>
            <w:tcW w:w="1177" w:type="dxa"/>
            <w:vAlign w:val="center"/>
          </w:tcPr>
          <w:p w14:paraId="48DC77C7" w14:textId="30B363EE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7.63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5.44</w:t>
            </w:r>
          </w:p>
        </w:tc>
        <w:tc>
          <w:tcPr>
            <w:tcW w:w="1175" w:type="dxa"/>
            <w:vAlign w:val="center"/>
          </w:tcPr>
          <w:p w14:paraId="4CEBDF0A" w14:textId="0D0E4002" w:rsidR="000936C7" w:rsidRPr="00605297" w:rsidRDefault="000936C7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6.99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5.40</w:t>
            </w:r>
          </w:p>
        </w:tc>
      </w:tr>
      <w:tr w:rsidR="00605297" w:rsidRPr="00605297" w14:paraId="52923305" w14:textId="77777777" w:rsidTr="00AE0A5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2D2D1ACC" w14:textId="77777777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02A6BFA" w14:textId="77777777" w:rsidR="00781F58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3669C2FA" w14:textId="351637C3" w:rsidR="00963A66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color w:val="000000" w:themeColor="text1"/>
                <w:sz w:val="16"/>
                <w:szCs w:val="16"/>
              </w:rPr>
              <w:t>(Raghu et al.,</w:t>
            </w:r>
            <w:r w:rsidRPr="00605297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color w:val="000000" w:themeColor="text1"/>
                <w:sz w:val="16"/>
                <w:szCs w:val="16"/>
              </w:rPr>
              <w:t>20</w:t>
            </w:r>
            <w:r w:rsidR="001A2032" w:rsidRPr="00605297">
              <w:rPr>
                <w:color w:val="000000" w:themeColor="text1"/>
                <w:sz w:val="16"/>
                <w:szCs w:val="16"/>
              </w:rPr>
              <w:t>19</w:t>
            </w:r>
            <w:r w:rsidRPr="0060529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1269B382" w14:textId="7BC94D2D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7C184F06" w14:textId="08E2BEB8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18.01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17.19</w:t>
            </w:r>
          </w:p>
        </w:tc>
        <w:tc>
          <w:tcPr>
            <w:tcW w:w="1175" w:type="dxa"/>
            <w:vAlign w:val="center"/>
          </w:tcPr>
          <w:p w14:paraId="4B9CA05A" w14:textId="0F5C2374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16.75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13.77</w:t>
            </w:r>
          </w:p>
        </w:tc>
        <w:tc>
          <w:tcPr>
            <w:tcW w:w="1175" w:type="dxa"/>
            <w:vAlign w:val="center"/>
          </w:tcPr>
          <w:p w14:paraId="52C06A3F" w14:textId="520D2DF7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15.23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14.60</w:t>
            </w:r>
          </w:p>
        </w:tc>
        <w:tc>
          <w:tcPr>
            <w:tcW w:w="1177" w:type="dxa"/>
            <w:vAlign w:val="center"/>
          </w:tcPr>
          <w:p w14:paraId="3AB8CCA7" w14:textId="0F3540FD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12.43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8.21</w:t>
            </w:r>
          </w:p>
        </w:tc>
        <w:tc>
          <w:tcPr>
            <w:tcW w:w="1175" w:type="dxa"/>
            <w:vAlign w:val="center"/>
          </w:tcPr>
          <w:p w14:paraId="5E8FED5F" w14:textId="1B5B0565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15.60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13.44</w:t>
            </w:r>
          </w:p>
        </w:tc>
      </w:tr>
      <w:tr w:rsidR="00605297" w:rsidRPr="00605297" w14:paraId="09C1D0EB" w14:textId="77777777" w:rsidTr="00AE0A5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758ABF45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45D86DBC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66D89F11" w14:textId="04EAFC29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F5B49B0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51D66DD7" w14:textId="539C1162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4.71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3.39</w:t>
            </w:r>
          </w:p>
        </w:tc>
        <w:tc>
          <w:tcPr>
            <w:tcW w:w="1175" w:type="dxa"/>
            <w:vAlign w:val="center"/>
          </w:tcPr>
          <w:p w14:paraId="0C2697BE" w14:textId="2553B338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4.73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2.67</w:t>
            </w:r>
          </w:p>
        </w:tc>
        <w:tc>
          <w:tcPr>
            <w:tcW w:w="1175" w:type="dxa"/>
            <w:vAlign w:val="center"/>
          </w:tcPr>
          <w:p w14:paraId="3F980D58" w14:textId="170F4449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10.71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9.53</w:t>
            </w:r>
          </w:p>
        </w:tc>
        <w:tc>
          <w:tcPr>
            <w:tcW w:w="1177" w:type="dxa"/>
            <w:vAlign w:val="center"/>
          </w:tcPr>
          <w:p w14:paraId="4744C116" w14:textId="3FBB6F4C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10.34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9.40</w:t>
            </w:r>
          </w:p>
        </w:tc>
        <w:tc>
          <w:tcPr>
            <w:tcW w:w="1175" w:type="dxa"/>
            <w:vAlign w:val="center"/>
          </w:tcPr>
          <w:p w14:paraId="33B033D9" w14:textId="618E8473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7.62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7.58</w:t>
            </w:r>
          </w:p>
        </w:tc>
      </w:tr>
      <w:tr w:rsidR="00605297" w:rsidRPr="00605297" w14:paraId="4A14AED3" w14:textId="77777777" w:rsidTr="00AE0A5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30B959F9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51832CD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51BD73C2" w14:textId="1AF6B205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C0EAC32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63FA5A32" w14:textId="6E779AA3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6.32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5.77</w:t>
            </w:r>
          </w:p>
        </w:tc>
        <w:tc>
          <w:tcPr>
            <w:tcW w:w="1175" w:type="dxa"/>
            <w:vAlign w:val="center"/>
          </w:tcPr>
          <w:p w14:paraId="09F0E863" w14:textId="7D7462A3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5.91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5.33</w:t>
            </w:r>
          </w:p>
        </w:tc>
        <w:tc>
          <w:tcPr>
            <w:tcW w:w="1175" w:type="dxa"/>
            <w:vAlign w:val="center"/>
          </w:tcPr>
          <w:p w14:paraId="7A0FD8EE" w14:textId="74F8F7FB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7.38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4.84</w:t>
            </w:r>
          </w:p>
        </w:tc>
        <w:tc>
          <w:tcPr>
            <w:tcW w:w="1177" w:type="dxa"/>
            <w:vAlign w:val="center"/>
          </w:tcPr>
          <w:p w14:paraId="4D0220CA" w14:textId="0E4E4043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7.41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4.61</w:t>
            </w:r>
          </w:p>
        </w:tc>
        <w:tc>
          <w:tcPr>
            <w:tcW w:w="1175" w:type="dxa"/>
            <w:vAlign w:val="center"/>
          </w:tcPr>
          <w:p w14:paraId="65B0C8D0" w14:textId="3BA8E01E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6.76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5.18</w:t>
            </w:r>
          </w:p>
        </w:tc>
      </w:tr>
      <w:tr w:rsidR="00605297" w:rsidRPr="00605297" w14:paraId="48607109" w14:textId="77777777" w:rsidTr="00AE0A5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4AB76AF2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649A262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98E9FC0" w14:textId="0C6192CE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F9380C8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1CB57F8F" w14:textId="18A4D623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5.12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4.08</w:t>
            </w:r>
          </w:p>
        </w:tc>
        <w:tc>
          <w:tcPr>
            <w:tcW w:w="1175" w:type="dxa"/>
            <w:vAlign w:val="center"/>
          </w:tcPr>
          <w:p w14:paraId="08C07890" w14:textId="06B7B7E9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5.31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5.68</w:t>
            </w:r>
          </w:p>
        </w:tc>
        <w:tc>
          <w:tcPr>
            <w:tcW w:w="1175" w:type="dxa"/>
            <w:vAlign w:val="center"/>
          </w:tcPr>
          <w:p w14:paraId="5ADDE22F" w14:textId="51172C2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6.73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3.92</w:t>
            </w:r>
          </w:p>
        </w:tc>
        <w:tc>
          <w:tcPr>
            <w:tcW w:w="1177" w:type="dxa"/>
            <w:vAlign w:val="center"/>
          </w:tcPr>
          <w:p w14:paraId="0D3B15EB" w14:textId="0105AB1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7.01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4.56</w:t>
            </w:r>
          </w:p>
        </w:tc>
        <w:tc>
          <w:tcPr>
            <w:tcW w:w="1175" w:type="dxa"/>
            <w:vAlign w:val="center"/>
          </w:tcPr>
          <w:p w14:paraId="2EC4A0FA" w14:textId="2935F40F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6.04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4.67</w:t>
            </w:r>
          </w:p>
        </w:tc>
      </w:tr>
      <w:tr w:rsidR="00605297" w:rsidRPr="00605297" w14:paraId="08D29A5B" w14:textId="77777777" w:rsidTr="00AE0A5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3F0D06EB" w14:textId="77777777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F66903E" w14:textId="77777777" w:rsidR="00781F58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71CF2E0C" w14:textId="682FFFDB" w:rsidR="00963A66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color w:val="000000" w:themeColor="text1"/>
                <w:sz w:val="16"/>
                <w:szCs w:val="16"/>
              </w:rPr>
              <w:t>(Raghu et al.,</w:t>
            </w:r>
            <w:r w:rsidRPr="00605297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color w:val="000000" w:themeColor="text1"/>
                <w:sz w:val="16"/>
                <w:szCs w:val="16"/>
              </w:rPr>
              <w:t>20</w:t>
            </w:r>
            <w:r w:rsidR="001A2032" w:rsidRPr="00605297">
              <w:rPr>
                <w:color w:val="000000" w:themeColor="text1"/>
                <w:sz w:val="16"/>
                <w:szCs w:val="16"/>
              </w:rPr>
              <w:t>19</w:t>
            </w:r>
            <w:r w:rsidRPr="0060529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342689E8" w14:textId="0FCD77B5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45855363" w14:textId="5F9E0565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16.97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17.08</w:t>
            </w:r>
          </w:p>
        </w:tc>
        <w:tc>
          <w:tcPr>
            <w:tcW w:w="1175" w:type="dxa"/>
            <w:vAlign w:val="center"/>
          </w:tcPr>
          <w:p w14:paraId="26DCC918" w14:textId="21166E4A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14.09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12.32</w:t>
            </w:r>
          </w:p>
        </w:tc>
        <w:tc>
          <w:tcPr>
            <w:tcW w:w="1175" w:type="dxa"/>
            <w:vAlign w:val="center"/>
          </w:tcPr>
          <w:p w14:paraId="7F1B662C" w14:textId="5E8279EA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12.53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11.29</w:t>
            </w:r>
          </w:p>
        </w:tc>
        <w:tc>
          <w:tcPr>
            <w:tcW w:w="1177" w:type="dxa"/>
            <w:vAlign w:val="center"/>
          </w:tcPr>
          <w:p w14:paraId="592B98A0" w14:textId="4A69CB62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12.30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10.07</w:t>
            </w:r>
          </w:p>
        </w:tc>
        <w:tc>
          <w:tcPr>
            <w:tcW w:w="1175" w:type="dxa"/>
            <w:vAlign w:val="center"/>
          </w:tcPr>
          <w:p w14:paraId="788B0884" w14:textId="63A149C3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13.97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12.69</w:t>
            </w:r>
          </w:p>
        </w:tc>
      </w:tr>
      <w:tr w:rsidR="00605297" w:rsidRPr="00605297" w14:paraId="5C49B623" w14:textId="77777777" w:rsidTr="00AE0A5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7267AD92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41FED8D5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0E7AA843" w14:textId="21E75043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295CD50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075E602F" w14:textId="4E410532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4.18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2.60</w:t>
            </w:r>
          </w:p>
        </w:tc>
        <w:tc>
          <w:tcPr>
            <w:tcW w:w="1175" w:type="dxa"/>
            <w:vAlign w:val="center"/>
          </w:tcPr>
          <w:p w14:paraId="17F227AB" w14:textId="2F71292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4.49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3.10</w:t>
            </w:r>
          </w:p>
        </w:tc>
        <w:tc>
          <w:tcPr>
            <w:tcW w:w="1175" w:type="dxa"/>
            <w:vAlign w:val="center"/>
          </w:tcPr>
          <w:p w14:paraId="3FE8880A" w14:textId="23449CC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6.15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3.66</w:t>
            </w:r>
          </w:p>
        </w:tc>
        <w:tc>
          <w:tcPr>
            <w:tcW w:w="1177" w:type="dxa"/>
            <w:vAlign w:val="center"/>
          </w:tcPr>
          <w:p w14:paraId="56B7B4F5" w14:textId="1A3F4F71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6.93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4.39</w:t>
            </w:r>
          </w:p>
        </w:tc>
        <w:tc>
          <w:tcPr>
            <w:tcW w:w="1175" w:type="dxa"/>
            <w:vAlign w:val="center"/>
          </w:tcPr>
          <w:p w14:paraId="60A6063A" w14:textId="64B18C44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5.44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3.67</w:t>
            </w:r>
          </w:p>
        </w:tc>
      </w:tr>
      <w:tr w:rsidR="00605297" w:rsidRPr="00605297" w14:paraId="510BE690" w14:textId="77777777" w:rsidTr="00AE0A55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56E668DB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B3540E6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6051702D" w14:textId="68D12996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2F49474A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1B661E7F" w14:textId="13B62CBF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5.18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4.38</w:t>
            </w:r>
          </w:p>
        </w:tc>
        <w:tc>
          <w:tcPr>
            <w:tcW w:w="1175" w:type="dxa"/>
            <w:vAlign w:val="center"/>
          </w:tcPr>
          <w:p w14:paraId="2940ACAA" w14:textId="4EDF59A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5.05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3.88</w:t>
            </w:r>
          </w:p>
        </w:tc>
        <w:tc>
          <w:tcPr>
            <w:tcW w:w="1175" w:type="dxa"/>
            <w:vAlign w:val="center"/>
          </w:tcPr>
          <w:p w14:paraId="312CB3E0" w14:textId="697F3355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6.24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4.29</w:t>
            </w:r>
          </w:p>
        </w:tc>
        <w:tc>
          <w:tcPr>
            <w:tcW w:w="1177" w:type="dxa"/>
            <w:vAlign w:val="center"/>
          </w:tcPr>
          <w:p w14:paraId="1AFD621B" w14:textId="4FE131A6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6.76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4.59</w:t>
            </w:r>
          </w:p>
        </w:tc>
        <w:tc>
          <w:tcPr>
            <w:tcW w:w="1175" w:type="dxa"/>
            <w:vAlign w:val="center"/>
          </w:tcPr>
          <w:p w14:paraId="05A97576" w14:textId="7A1A81FC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4.34</w:t>
            </w:r>
          </w:p>
        </w:tc>
      </w:tr>
      <w:tr w:rsidR="00605297" w:rsidRPr="00605297" w14:paraId="3543C631" w14:textId="77777777" w:rsidTr="00AE0A5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349BEF17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F251893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16441FB7" w14:textId="0507967E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E816D12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756D54B3" w14:textId="50BDE621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4.78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5.99</w:t>
            </w:r>
          </w:p>
        </w:tc>
        <w:tc>
          <w:tcPr>
            <w:tcW w:w="1175" w:type="dxa"/>
            <w:vAlign w:val="center"/>
          </w:tcPr>
          <w:p w14:paraId="56423137" w14:textId="20326212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5.24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7.70</w:t>
            </w:r>
          </w:p>
        </w:tc>
        <w:tc>
          <w:tcPr>
            <w:tcW w:w="1175" w:type="dxa"/>
            <w:vAlign w:val="center"/>
          </w:tcPr>
          <w:p w14:paraId="4466F77A" w14:textId="47E91D76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6.17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3.84</w:t>
            </w:r>
          </w:p>
        </w:tc>
        <w:tc>
          <w:tcPr>
            <w:tcW w:w="1177" w:type="dxa"/>
            <w:vAlign w:val="center"/>
          </w:tcPr>
          <w:p w14:paraId="3D30DDC2" w14:textId="551C184D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7.06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4.46</w:t>
            </w:r>
          </w:p>
        </w:tc>
        <w:tc>
          <w:tcPr>
            <w:tcW w:w="1175" w:type="dxa"/>
            <w:vAlign w:val="center"/>
          </w:tcPr>
          <w:p w14:paraId="16B83E89" w14:textId="365EE310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5.74</w:t>
            </w:r>
          </w:p>
        </w:tc>
      </w:tr>
      <w:tr w:rsidR="00605297" w:rsidRPr="00605297" w14:paraId="7ECA92DF" w14:textId="77777777" w:rsidTr="00AE0A5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6A74A9DC" w14:textId="77777777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8046BDB" w14:textId="77777777" w:rsidR="00781F58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18A55675" w14:textId="486A76D4" w:rsidR="00963A66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color w:val="000000" w:themeColor="text1"/>
                <w:sz w:val="16"/>
                <w:szCs w:val="16"/>
              </w:rPr>
              <w:t>(Raghu et al.,</w:t>
            </w:r>
            <w:r w:rsidRPr="00605297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color w:val="000000" w:themeColor="text1"/>
                <w:sz w:val="16"/>
                <w:szCs w:val="16"/>
              </w:rPr>
              <w:t>20</w:t>
            </w:r>
            <w:r w:rsidR="001A2032" w:rsidRPr="00605297">
              <w:rPr>
                <w:color w:val="000000" w:themeColor="text1"/>
                <w:sz w:val="16"/>
                <w:szCs w:val="16"/>
              </w:rPr>
              <w:t>19</w:t>
            </w:r>
            <w:r w:rsidRPr="0060529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19F291CF" w14:textId="5C36BDE8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09D07ABC" w14:textId="7AF0FDB5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14.63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13.48</w:t>
            </w:r>
          </w:p>
        </w:tc>
        <w:tc>
          <w:tcPr>
            <w:tcW w:w="1175" w:type="dxa"/>
            <w:vAlign w:val="center"/>
          </w:tcPr>
          <w:p w14:paraId="1E012B2E" w14:textId="32E577C5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16.97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20.00</w:t>
            </w:r>
          </w:p>
        </w:tc>
        <w:tc>
          <w:tcPr>
            <w:tcW w:w="1175" w:type="dxa"/>
            <w:vAlign w:val="center"/>
          </w:tcPr>
          <w:p w14:paraId="2DE255FC" w14:textId="189DB5E2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13.55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12.65</w:t>
            </w:r>
          </w:p>
        </w:tc>
        <w:tc>
          <w:tcPr>
            <w:tcW w:w="1177" w:type="dxa"/>
            <w:vAlign w:val="center"/>
          </w:tcPr>
          <w:p w14:paraId="5F0968F4" w14:textId="44CF0693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13.10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11.91</w:t>
            </w:r>
          </w:p>
        </w:tc>
        <w:tc>
          <w:tcPr>
            <w:tcW w:w="1175" w:type="dxa"/>
            <w:vAlign w:val="center"/>
          </w:tcPr>
          <w:p w14:paraId="070C52A1" w14:textId="631B8812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14.56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14.51</w:t>
            </w:r>
          </w:p>
        </w:tc>
      </w:tr>
      <w:tr w:rsidR="00605297" w:rsidRPr="00605297" w14:paraId="06F058FC" w14:textId="77777777" w:rsidTr="00AE0A55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5BD739B4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4B6E485C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6ACD9D48" w14:textId="1D2C66BE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D17CCC3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4207DFD9" w14:textId="23F98DFB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4.08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2.56</w:t>
            </w:r>
          </w:p>
        </w:tc>
        <w:tc>
          <w:tcPr>
            <w:tcW w:w="1175" w:type="dxa"/>
            <w:vAlign w:val="center"/>
          </w:tcPr>
          <w:p w14:paraId="45174D8D" w14:textId="37C89EF1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4.04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2.53</w:t>
            </w:r>
          </w:p>
        </w:tc>
        <w:tc>
          <w:tcPr>
            <w:tcW w:w="1175" w:type="dxa"/>
            <w:vAlign w:val="center"/>
          </w:tcPr>
          <w:p w14:paraId="2A06E5AD" w14:textId="2686455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5.65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3.19</w:t>
            </w:r>
          </w:p>
        </w:tc>
        <w:tc>
          <w:tcPr>
            <w:tcW w:w="1177" w:type="dxa"/>
            <w:vAlign w:val="center"/>
          </w:tcPr>
          <w:p w14:paraId="65A5F450" w14:textId="081EE084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3.85</w:t>
            </w:r>
          </w:p>
        </w:tc>
        <w:tc>
          <w:tcPr>
            <w:tcW w:w="1175" w:type="dxa"/>
            <w:vAlign w:val="center"/>
          </w:tcPr>
          <w:p w14:paraId="2A9A926E" w14:textId="4F434947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5.06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3.24</w:t>
            </w:r>
          </w:p>
        </w:tc>
      </w:tr>
      <w:tr w:rsidR="00605297" w:rsidRPr="00605297" w14:paraId="4FB89D8D" w14:textId="77777777" w:rsidTr="00AE0A55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27CC2483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6F38125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5DA1895C" w14:textId="60DADA3F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91F6B1C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22DF3084" w14:textId="126BBBE5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4.65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2.32</w:t>
            </w:r>
          </w:p>
        </w:tc>
        <w:tc>
          <w:tcPr>
            <w:tcW w:w="1175" w:type="dxa"/>
            <w:vAlign w:val="center"/>
          </w:tcPr>
          <w:p w14:paraId="655CDF18" w14:textId="4A13F59D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4.37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2.69</w:t>
            </w:r>
          </w:p>
        </w:tc>
        <w:tc>
          <w:tcPr>
            <w:tcW w:w="1175" w:type="dxa"/>
            <w:vAlign w:val="center"/>
          </w:tcPr>
          <w:p w14:paraId="36E79853" w14:textId="7AC2756D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6.29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4.67</w:t>
            </w:r>
          </w:p>
        </w:tc>
        <w:tc>
          <w:tcPr>
            <w:tcW w:w="1177" w:type="dxa"/>
            <w:vAlign w:val="center"/>
          </w:tcPr>
          <w:p w14:paraId="6DCB849D" w14:textId="111FDE4C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6.46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4.08</w:t>
            </w:r>
          </w:p>
        </w:tc>
        <w:tc>
          <w:tcPr>
            <w:tcW w:w="1175" w:type="dxa"/>
            <w:vAlign w:val="center"/>
          </w:tcPr>
          <w:p w14:paraId="33AB5A6C" w14:textId="4FC3C936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5.45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3.68</w:t>
            </w:r>
          </w:p>
        </w:tc>
      </w:tr>
      <w:tr w:rsidR="00605297" w:rsidRPr="00605297" w14:paraId="71797E08" w14:textId="77777777" w:rsidTr="00AE0A5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2844E1BE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69173476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59508E4" w14:textId="06AE559E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05297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71830EFB" w14:textId="77777777" w:rsidR="000936C7" w:rsidRPr="00605297" w:rsidRDefault="000936C7" w:rsidP="000936C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2CF0C8D3" w14:textId="6AA953C5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4.83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4.96</w:t>
            </w:r>
          </w:p>
        </w:tc>
        <w:tc>
          <w:tcPr>
            <w:tcW w:w="1175" w:type="dxa"/>
            <w:vAlign w:val="center"/>
          </w:tcPr>
          <w:p w14:paraId="4BE2B2A3" w14:textId="7CFF9829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5.31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4.44</w:t>
            </w:r>
          </w:p>
        </w:tc>
        <w:tc>
          <w:tcPr>
            <w:tcW w:w="1175" w:type="dxa"/>
            <w:vAlign w:val="center"/>
          </w:tcPr>
          <w:p w14:paraId="52EBF001" w14:textId="747D56CD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5.72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3.49</w:t>
            </w:r>
          </w:p>
        </w:tc>
        <w:tc>
          <w:tcPr>
            <w:tcW w:w="1177" w:type="dxa"/>
            <w:vAlign w:val="center"/>
          </w:tcPr>
          <w:p w14:paraId="40633992" w14:textId="0777E4B2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6.38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4.02</w:t>
            </w:r>
          </w:p>
        </w:tc>
        <w:tc>
          <w:tcPr>
            <w:tcW w:w="1175" w:type="dxa"/>
            <w:vAlign w:val="center"/>
          </w:tcPr>
          <w:p w14:paraId="39A45C66" w14:textId="3213675D" w:rsidR="000936C7" w:rsidRPr="00605297" w:rsidRDefault="000936C7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5.56 </w:t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4.28</w:t>
            </w:r>
          </w:p>
        </w:tc>
      </w:tr>
      <w:tr w:rsidR="00605297" w:rsidRPr="00605297" w14:paraId="4C0089AD" w14:textId="77777777" w:rsidTr="00AE0A55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72469F28" w14:textId="77777777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8CAF9E2" w14:textId="77777777" w:rsidR="00781F58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1A54C209" w14:textId="72E938A3" w:rsidR="00963A66" w:rsidRPr="00605297" w:rsidRDefault="00781F58" w:rsidP="00781F58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color w:val="000000" w:themeColor="text1"/>
                <w:sz w:val="16"/>
                <w:szCs w:val="16"/>
              </w:rPr>
              <w:t>(Raghu et al.,</w:t>
            </w:r>
            <w:r w:rsidRPr="00605297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color w:val="000000" w:themeColor="text1"/>
                <w:sz w:val="16"/>
                <w:szCs w:val="16"/>
              </w:rPr>
              <w:t>20</w:t>
            </w:r>
            <w:r w:rsidR="001A2032" w:rsidRPr="00605297">
              <w:rPr>
                <w:color w:val="000000" w:themeColor="text1"/>
                <w:sz w:val="16"/>
                <w:szCs w:val="16"/>
              </w:rPr>
              <w:t>19</w:t>
            </w:r>
            <w:r w:rsidRPr="0060529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40A49A87" w14:textId="3B44E598" w:rsidR="00963A66" w:rsidRPr="00605297" w:rsidRDefault="00963A66" w:rsidP="00963A66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05C8FCEC" w14:textId="344FAEE8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10.93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10.74</w:t>
            </w:r>
          </w:p>
        </w:tc>
        <w:tc>
          <w:tcPr>
            <w:tcW w:w="1175" w:type="dxa"/>
            <w:vAlign w:val="center"/>
          </w:tcPr>
          <w:p w14:paraId="0A9B8EFA" w14:textId="4B3B8134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10.62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9.00</w:t>
            </w:r>
          </w:p>
        </w:tc>
        <w:tc>
          <w:tcPr>
            <w:tcW w:w="1175" w:type="dxa"/>
            <w:vAlign w:val="center"/>
          </w:tcPr>
          <w:p w14:paraId="0CC8CADD" w14:textId="1F4D605D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12.67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13.99</w:t>
            </w:r>
          </w:p>
        </w:tc>
        <w:tc>
          <w:tcPr>
            <w:tcW w:w="1177" w:type="dxa"/>
            <w:vAlign w:val="center"/>
          </w:tcPr>
          <w:p w14:paraId="0E1B430D" w14:textId="5CCAC71D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10.30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9.63</w:t>
            </w:r>
          </w:p>
        </w:tc>
        <w:tc>
          <w:tcPr>
            <w:tcW w:w="1175" w:type="dxa"/>
            <w:vAlign w:val="center"/>
          </w:tcPr>
          <w:p w14:paraId="46E7F721" w14:textId="156BB6DD" w:rsidR="00963A66" w:rsidRPr="00605297" w:rsidRDefault="00963A66" w:rsidP="00AE0A55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11.13 </w:t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AE0A55" w:rsidRPr="00605297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05297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10.84</w:t>
            </w:r>
          </w:p>
        </w:tc>
      </w:tr>
    </w:tbl>
    <w:p w14:paraId="20192212" w14:textId="5355D6EE" w:rsidR="00C83F25" w:rsidRPr="00605297" w:rsidRDefault="00416BB9" w:rsidP="00C83F25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바탕" w:hAnsi="Times New Roman" w:cs="Times New Roman"/>
          <w:color w:val="000000" w:themeColor="text1"/>
        </w:rPr>
      </w:pPr>
      <w:r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PLAX, </w:t>
      </w:r>
      <w:r w:rsidR="00D913A2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Parasternal Long Axes</w:t>
      </w:r>
      <w:r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; </w:t>
      </w:r>
      <w:r w:rsidR="00C83F2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Avg, Average; MDE, </w:t>
      </w:r>
      <w:r w:rsidR="00016E6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M</w:t>
      </w:r>
      <w:r w:rsidR="00C83F2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ean </w:t>
      </w:r>
      <w:r w:rsidR="00016E6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D</w:t>
      </w:r>
      <w:r w:rsidR="00C83F2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istance </w:t>
      </w:r>
      <w:r w:rsidR="00016E6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E</w:t>
      </w:r>
      <w:r w:rsidR="00C83F25" w:rsidRPr="0060529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rror</w:t>
      </w:r>
    </w:p>
    <w:p w14:paraId="2BCA723C" w14:textId="108D1FEC" w:rsidR="00E17EFA" w:rsidRPr="00605297" w:rsidRDefault="00E17EFA" w:rsidP="00D7120C">
      <w:pPr>
        <w:rPr>
          <w:color w:val="000000" w:themeColor="text1"/>
        </w:rPr>
      </w:pPr>
    </w:p>
    <w:p w14:paraId="7DA46A2E" w14:textId="120D3D59" w:rsidR="00C75052" w:rsidRPr="00605297" w:rsidRDefault="00C75052" w:rsidP="00D7120C">
      <w:pPr>
        <w:rPr>
          <w:color w:val="000000" w:themeColor="text1"/>
        </w:rPr>
      </w:pPr>
    </w:p>
    <w:p w14:paraId="20F72CAA" w14:textId="45794B7A" w:rsidR="005B3A2F" w:rsidRPr="00605297" w:rsidRDefault="005B3A2F" w:rsidP="00D7120C">
      <w:pPr>
        <w:rPr>
          <w:color w:val="000000" w:themeColor="text1"/>
        </w:rPr>
      </w:pPr>
    </w:p>
    <w:p w14:paraId="1411FC23" w14:textId="77777777" w:rsidR="00BC0E94" w:rsidRPr="00605297" w:rsidRDefault="00BC0E94" w:rsidP="00CB1B22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9032037" w14:textId="77777777" w:rsidR="00BC0E94" w:rsidRPr="00605297" w:rsidRDefault="00BC0E94" w:rsidP="00CB1B22">
      <w:pPr>
        <w:spacing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4E29439" w14:textId="0C991C68" w:rsidR="00B713E1" w:rsidRPr="00605297" w:rsidRDefault="00BC6A01" w:rsidP="00CB1B22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60529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6792D4D0" w14:textId="77777777" w:rsidR="005B3A2F" w:rsidRPr="00605297" w:rsidRDefault="0019432B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605297">
        <w:rPr>
          <w:rFonts w:ascii="Times New Roman" w:hAnsi="Times New Roman" w:cs="Times New Roman"/>
          <w:b/>
          <w:color w:val="000000" w:themeColor="text1"/>
          <w:sz w:val="24"/>
        </w:rPr>
        <w:instrText xml:space="preserve"> ADDIN EN.REFLIST </w:instrText>
      </w:r>
      <w:r w:rsidRPr="00605297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="005B3A2F" w:rsidRPr="00605297">
        <w:rPr>
          <w:rFonts w:ascii="Times New Roman" w:hAnsi="Times New Roman" w:cs="Times New Roman"/>
          <w:color w:val="000000" w:themeColor="text1"/>
          <w:sz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="005B3A2F"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B3A2F" w:rsidRPr="00605297">
        <w:rPr>
          <w:rFonts w:ascii="Times New Roman" w:hAnsi="Times New Roman" w:cs="Times New Roman"/>
          <w:color w:val="000000" w:themeColor="text1"/>
          <w:sz w:val="24"/>
        </w:rPr>
        <w:t xml:space="preserve"> 7:386-395. </w:t>
      </w:r>
    </w:p>
    <w:p w14:paraId="373B6E11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Finn C, Abbeel P, and Levine S. 2017. Model-agnostic meta-learning for fast adaptation of deep networks. International conference on machine learning: PMLR. p 1126-1135.</w:t>
      </w:r>
    </w:p>
    <w:p w14:paraId="21945899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Huang Z, Long G, Wessler B, and Hughes MC. 2022. TMED 2: a dataset for semi-supervised classification of echocardiograms. DataPerf: Benchmarking Data for Data-Centric AI Workshop.</w:t>
      </w:r>
    </w:p>
    <w:p w14:paraId="04477A04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Kristensen CB, Myhr KA, Grund FF, Vejlstrup N, Hassager C, Mattu R, and Mogelvang R. 2022. A new method to quantify left ventricular mass by 2D echocardiography.</w:t>
      </w:r>
      <w:r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Scientific Reports</w:t>
      </w: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 12:9980. </w:t>
      </w:r>
    </w:p>
    <w:p w14:paraId="4D5C5180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European Heart Journal-Cardiovascular Imaging</w:t>
      </w: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 16:233-271. </w:t>
      </w:r>
    </w:p>
    <w:p w14:paraId="24E898E3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IEEE transactions on medical imaging</w:t>
      </w: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577CF795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6D53D5ED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Li Z, Zhou F, Chen F, and Li HJapa. 2017. Meta-sgd: Learning to learn quickly for few-shot learning. </w:t>
      </w:r>
    </w:p>
    <w:p w14:paraId="44239769" w14:textId="77777777" w:rsidR="005B3A2F" w:rsidRPr="00605297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color w:val="000000" w:themeColor="text1"/>
          <w:sz w:val="24"/>
        </w:rPr>
        <w:t>Park E, and Oliva JBJAinips. 2019. Meta-curvature.</w:t>
      </w:r>
      <w:r w:rsidRPr="00605297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605297">
        <w:rPr>
          <w:rFonts w:ascii="Times New Roman" w:hAnsi="Times New Roman" w:cs="Times New Roman"/>
          <w:color w:val="000000" w:themeColor="text1"/>
          <w:sz w:val="24"/>
        </w:rPr>
        <w:t xml:space="preserve"> 32. </w:t>
      </w:r>
    </w:p>
    <w:p w14:paraId="1D7A8A85" w14:textId="25F37009" w:rsidR="009011F0" w:rsidRPr="00605297" w:rsidRDefault="0019432B" w:rsidP="009011F0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605297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9011F0" w:rsidRPr="00605297">
        <w:rPr>
          <w:rFonts w:ascii="Times New Roman" w:hAnsi="Times New Roman" w:cs="Times New Roman"/>
          <w:bCs/>
          <w:color w:val="000000" w:themeColor="text1"/>
          <w:sz w:val="24"/>
        </w:rPr>
        <w:t>Raghu A, Raghu M, Bengio S, and Vinyals O. 2019. Rapid learning or feature reuse? towards understanding the effectiveness of maml.</w:t>
      </w:r>
      <w:r w:rsidR="009011F0" w:rsidRPr="00605297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arXiv preprint arXiv:190909157</w:t>
      </w:r>
      <w:r w:rsidR="009011F0" w:rsidRPr="00605297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0414342E" w14:textId="0120C6B8" w:rsidR="00052DFC" w:rsidRPr="00605297" w:rsidRDefault="00052DFC" w:rsidP="00D7120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052DFC" w:rsidRPr="0060529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4D79" w14:textId="77777777" w:rsidR="009B2F02" w:rsidRDefault="009B2F02" w:rsidP="00BE6DCD">
      <w:r>
        <w:separator/>
      </w:r>
    </w:p>
  </w:endnote>
  <w:endnote w:type="continuationSeparator" w:id="0">
    <w:p w14:paraId="3732A121" w14:textId="77777777" w:rsidR="009B2F02" w:rsidRDefault="009B2F02" w:rsidP="00B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4A32" w14:textId="77777777" w:rsidR="009B2F02" w:rsidRDefault="009B2F02" w:rsidP="00BE6DCD">
      <w:r>
        <w:separator/>
      </w:r>
    </w:p>
  </w:footnote>
  <w:footnote w:type="continuationSeparator" w:id="0">
    <w:p w14:paraId="59D56C61" w14:textId="77777777" w:rsidR="009B2F02" w:rsidRDefault="009B2F02" w:rsidP="00B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zwfve40wrt5eet05ve2rjxr9f9d5er0ft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BE6DCD"/>
    <w:rsid w:val="00013B36"/>
    <w:rsid w:val="00016E65"/>
    <w:rsid w:val="000207C1"/>
    <w:rsid w:val="00043C00"/>
    <w:rsid w:val="00046A9C"/>
    <w:rsid w:val="00052DFC"/>
    <w:rsid w:val="000602B2"/>
    <w:rsid w:val="00060F7D"/>
    <w:rsid w:val="00064C17"/>
    <w:rsid w:val="000936C7"/>
    <w:rsid w:val="000F0E8B"/>
    <w:rsid w:val="001011F0"/>
    <w:rsid w:val="001065BE"/>
    <w:rsid w:val="00131366"/>
    <w:rsid w:val="00147327"/>
    <w:rsid w:val="001544D8"/>
    <w:rsid w:val="001647FB"/>
    <w:rsid w:val="00167F55"/>
    <w:rsid w:val="001854BC"/>
    <w:rsid w:val="0019432B"/>
    <w:rsid w:val="001A2032"/>
    <w:rsid w:val="001F53E8"/>
    <w:rsid w:val="00202959"/>
    <w:rsid w:val="00203F6F"/>
    <w:rsid w:val="00204230"/>
    <w:rsid w:val="00212F8E"/>
    <w:rsid w:val="0021706D"/>
    <w:rsid w:val="00217D1A"/>
    <w:rsid w:val="00226B70"/>
    <w:rsid w:val="00245967"/>
    <w:rsid w:val="0026210F"/>
    <w:rsid w:val="00291F3A"/>
    <w:rsid w:val="00297E3C"/>
    <w:rsid w:val="002A1A70"/>
    <w:rsid w:val="002C039A"/>
    <w:rsid w:val="002C36D1"/>
    <w:rsid w:val="002C7000"/>
    <w:rsid w:val="002E1C07"/>
    <w:rsid w:val="002F7F09"/>
    <w:rsid w:val="003175AA"/>
    <w:rsid w:val="00340B70"/>
    <w:rsid w:val="00370B7A"/>
    <w:rsid w:val="00374DCC"/>
    <w:rsid w:val="00385732"/>
    <w:rsid w:val="003908F2"/>
    <w:rsid w:val="003909A3"/>
    <w:rsid w:val="00395283"/>
    <w:rsid w:val="003A2865"/>
    <w:rsid w:val="003A45DD"/>
    <w:rsid w:val="003C425C"/>
    <w:rsid w:val="003D568E"/>
    <w:rsid w:val="003F255E"/>
    <w:rsid w:val="00410792"/>
    <w:rsid w:val="00416BB9"/>
    <w:rsid w:val="00431DD0"/>
    <w:rsid w:val="0043694E"/>
    <w:rsid w:val="00444D1A"/>
    <w:rsid w:val="00453F81"/>
    <w:rsid w:val="00486874"/>
    <w:rsid w:val="00497E19"/>
    <w:rsid w:val="004A2F92"/>
    <w:rsid w:val="004B1EAC"/>
    <w:rsid w:val="004C2E9A"/>
    <w:rsid w:val="004E2183"/>
    <w:rsid w:val="004E592F"/>
    <w:rsid w:val="004E7EB3"/>
    <w:rsid w:val="005319CD"/>
    <w:rsid w:val="00534B7A"/>
    <w:rsid w:val="005378B3"/>
    <w:rsid w:val="00563671"/>
    <w:rsid w:val="00593A8C"/>
    <w:rsid w:val="005B0CC9"/>
    <w:rsid w:val="005B3A2F"/>
    <w:rsid w:val="005C40E9"/>
    <w:rsid w:val="00605297"/>
    <w:rsid w:val="006458CB"/>
    <w:rsid w:val="0065543A"/>
    <w:rsid w:val="0065546E"/>
    <w:rsid w:val="00673729"/>
    <w:rsid w:val="00673AE8"/>
    <w:rsid w:val="006854C7"/>
    <w:rsid w:val="0068711D"/>
    <w:rsid w:val="00693DBC"/>
    <w:rsid w:val="00694F90"/>
    <w:rsid w:val="006A48AC"/>
    <w:rsid w:val="006B1E35"/>
    <w:rsid w:val="006B2E50"/>
    <w:rsid w:val="007045CF"/>
    <w:rsid w:val="00760F27"/>
    <w:rsid w:val="00767141"/>
    <w:rsid w:val="00772016"/>
    <w:rsid w:val="00781F58"/>
    <w:rsid w:val="007849BC"/>
    <w:rsid w:val="007858EA"/>
    <w:rsid w:val="007A2AD5"/>
    <w:rsid w:val="007B50CF"/>
    <w:rsid w:val="007B5DD4"/>
    <w:rsid w:val="007C75F7"/>
    <w:rsid w:val="007D2345"/>
    <w:rsid w:val="007F1D99"/>
    <w:rsid w:val="00826687"/>
    <w:rsid w:val="008322B9"/>
    <w:rsid w:val="00841C98"/>
    <w:rsid w:val="008514BD"/>
    <w:rsid w:val="00893DA0"/>
    <w:rsid w:val="00895348"/>
    <w:rsid w:val="008976F9"/>
    <w:rsid w:val="008D3FCE"/>
    <w:rsid w:val="008F0DB1"/>
    <w:rsid w:val="009011F0"/>
    <w:rsid w:val="0093445E"/>
    <w:rsid w:val="00935686"/>
    <w:rsid w:val="009378A0"/>
    <w:rsid w:val="0094686E"/>
    <w:rsid w:val="00963A66"/>
    <w:rsid w:val="00970D73"/>
    <w:rsid w:val="00974791"/>
    <w:rsid w:val="00990C7D"/>
    <w:rsid w:val="009B2F02"/>
    <w:rsid w:val="009C2F95"/>
    <w:rsid w:val="009F3740"/>
    <w:rsid w:val="009F43B8"/>
    <w:rsid w:val="00A11081"/>
    <w:rsid w:val="00A12DD9"/>
    <w:rsid w:val="00A25391"/>
    <w:rsid w:val="00A44ADC"/>
    <w:rsid w:val="00A81584"/>
    <w:rsid w:val="00A872D6"/>
    <w:rsid w:val="00AA23D7"/>
    <w:rsid w:val="00AC327E"/>
    <w:rsid w:val="00AD05A0"/>
    <w:rsid w:val="00AE0A55"/>
    <w:rsid w:val="00AE49FD"/>
    <w:rsid w:val="00AF1DFE"/>
    <w:rsid w:val="00AF2116"/>
    <w:rsid w:val="00AF5F65"/>
    <w:rsid w:val="00B60BB2"/>
    <w:rsid w:val="00B713E1"/>
    <w:rsid w:val="00B737DB"/>
    <w:rsid w:val="00BC0E94"/>
    <w:rsid w:val="00BC6A01"/>
    <w:rsid w:val="00BC6E4F"/>
    <w:rsid w:val="00BE6DCD"/>
    <w:rsid w:val="00C16F50"/>
    <w:rsid w:val="00C20431"/>
    <w:rsid w:val="00C26333"/>
    <w:rsid w:val="00C26E9B"/>
    <w:rsid w:val="00C27427"/>
    <w:rsid w:val="00C6595B"/>
    <w:rsid w:val="00C669FD"/>
    <w:rsid w:val="00C7344D"/>
    <w:rsid w:val="00C73561"/>
    <w:rsid w:val="00C75052"/>
    <w:rsid w:val="00C81931"/>
    <w:rsid w:val="00C83F25"/>
    <w:rsid w:val="00C972B0"/>
    <w:rsid w:val="00CA42B9"/>
    <w:rsid w:val="00CB1B22"/>
    <w:rsid w:val="00D25935"/>
    <w:rsid w:val="00D308CC"/>
    <w:rsid w:val="00D443A2"/>
    <w:rsid w:val="00D70B47"/>
    <w:rsid w:val="00D7120C"/>
    <w:rsid w:val="00D75A41"/>
    <w:rsid w:val="00D8198B"/>
    <w:rsid w:val="00D913A2"/>
    <w:rsid w:val="00DB7313"/>
    <w:rsid w:val="00DE4E8F"/>
    <w:rsid w:val="00DF656F"/>
    <w:rsid w:val="00E00E8C"/>
    <w:rsid w:val="00E056A2"/>
    <w:rsid w:val="00E1078D"/>
    <w:rsid w:val="00E17EFA"/>
    <w:rsid w:val="00E2100A"/>
    <w:rsid w:val="00E4241C"/>
    <w:rsid w:val="00E4728E"/>
    <w:rsid w:val="00E67435"/>
    <w:rsid w:val="00EB018A"/>
    <w:rsid w:val="00EC3343"/>
    <w:rsid w:val="00EC7EB1"/>
    <w:rsid w:val="00EE194B"/>
    <w:rsid w:val="00EE7096"/>
    <w:rsid w:val="00F215F2"/>
    <w:rsid w:val="00F2191C"/>
    <w:rsid w:val="00F24BA3"/>
    <w:rsid w:val="00F54AE0"/>
    <w:rsid w:val="00F60616"/>
    <w:rsid w:val="00F84AA2"/>
    <w:rsid w:val="00F85EFA"/>
    <w:rsid w:val="00F87651"/>
    <w:rsid w:val="00F9175A"/>
    <w:rsid w:val="00FA2B97"/>
    <w:rsid w:val="00FC54F1"/>
    <w:rsid w:val="00FD213B"/>
    <w:rsid w:val="00FD3D88"/>
    <w:rsid w:val="00FE5B68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545B"/>
  <w15:chartTrackingRefBased/>
  <w15:docId w15:val="{5DA2CAA6-86FF-FD4F-9B48-8EB691A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45E"/>
    <w:rPr>
      <w:b/>
      <w:bCs/>
      <w:szCs w:val="20"/>
    </w:rPr>
  </w:style>
  <w:style w:type="table" w:styleId="a4">
    <w:name w:val="Table Grid"/>
    <w:basedOn w:val="a1"/>
    <w:rsid w:val="007858EA"/>
    <w:pPr>
      <w:jc w:val="left"/>
    </w:pPr>
    <w:rPr>
      <w:rFonts w:ascii="Times New Roman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5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191C"/>
  </w:style>
  <w:style w:type="paragraph" w:styleId="a6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이동헌</dc:creator>
  <cp:keywords/>
  <dc:description/>
  <cp:lastModifiedBy>이동헌</cp:lastModifiedBy>
  <cp:revision>11</cp:revision>
  <cp:lastPrinted>2024-08-12T09:07:00Z</cp:lastPrinted>
  <dcterms:created xsi:type="dcterms:W3CDTF">2024-08-12T14:03:00Z</dcterms:created>
  <dcterms:modified xsi:type="dcterms:W3CDTF">2025-05-20T14:41:00Z</dcterms:modified>
</cp:coreProperties>
</file>