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596" w:rsidRDefault="00942596">
      <w:pPr>
        <w:rPr>
          <w:noProof/>
        </w:rPr>
      </w:pPr>
    </w:p>
    <w:p w:rsidR="00942596" w:rsidRDefault="00942596" w:rsidP="00942596">
      <w:r>
        <w:rPr>
          <w:noProof/>
        </w:rPr>
        <w:drawing>
          <wp:inline distT="0" distB="0" distL="0" distR="0">
            <wp:extent cx="5943600" cy="30956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596" w:rsidRDefault="00942596" w:rsidP="00942596">
      <w:pPr>
        <w:jc w:val="center"/>
      </w:pPr>
      <w:r w:rsidRPr="00942596">
        <w:t>Section I- five -tier trust computation attributes.</w:t>
      </w:r>
    </w:p>
    <w:sectPr w:rsidR="009425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42596"/>
    <w:rsid w:val="00942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5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2024-08-15T21:40:00Z</dcterms:created>
  <dcterms:modified xsi:type="dcterms:W3CDTF">2024-08-15T21:41:00Z</dcterms:modified>
</cp:coreProperties>
</file>