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DC97E" w14:textId="0F2A9A20" w:rsidR="006919DF" w:rsidRPr="00D572BC" w:rsidRDefault="006919DF">
      <w:pPr>
        <w:rPr>
          <w:rFonts w:eastAsiaTheme="minorEastAsia"/>
          <w:b/>
          <w:bCs/>
          <w:sz w:val="28"/>
          <w:szCs w:val="28"/>
        </w:rPr>
      </w:pPr>
      <w:r w:rsidRPr="005729A5">
        <w:rPr>
          <w:b/>
          <w:bCs/>
          <w:sz w:val="28"/>
          <w:szCs w:val="28"/>
        </w:rPr>
        <w:t>Article S</w:t>
      </w:r>
      <w:r w:rsidR="00D572BC">
        <w:rPr>
          <w:rFonts w:eastAsiaTheme="minorEastAsia" w:hint="eastAsia"/>
          <w:b/>
          <w:bCs/>
          <w:sz w:val="28"/>
          <w:szCs w:val="28"/>
        </w:rPr>
        <w:t>3</w:t>
      </w:r>
    </w:p>
    <w:p w14:paraId="09FA6746" w14:textId="0CA765EB" w:rsidR="008B5B5C" w:rsidRDefault="006919DF" w:rsidP="00F25CEA">
      <w:pPr>
        <w:rPr>
          <w:rFonts w:eastAsiaTheme="minorEastAsia"/>
        </w:rPr>
      </w:pPr>
      <w:r w:rsidRPr="006919DF">
        <w:rPr>
          <w:rFonts w:hint="eastAsia"/>
        </w:rPr>
        <w:t xml:space="preserve">To quantitatively examine whether computing </w:t>
      </w:r>
      <w:r w:rsidR="00656A4A" w:rsidRPr="00656A4A">
        <w:t>Gaussian interaction profile (GIP) kernel similarity</w:t>
      </w:r>
      <w:r w:rsidRPr="006919DF">
        <w:rPr>
          <w:rFonts w:hint="eastAsia"/>
        </w:rPr>
        <w:t xml:space="preserve"> from the complete </w:t>
      </w:r>
      <w:r w:rsidR="00F25CEA" w:rsidRPr="00F25CEA">
        <w:rPr>
          <w:rFonts w:eastAsiaTheme="minorEastAsia"/>
        </w:rPr>
        <w:t>miRNA-disease association</w:t>
      </w:r>
      <w:r w:rsidR="00F25CEA">
        <w:rPr>
          <w:rFonts w:eastAsiaTheme="minorEastAsia" w:hint="eastAsia"/>
        </w:rPr>
        <w:t xml:space="preserve"> (</w:t>
      </w:r>
      <w:r w:rsidRPr="006919DF">
        <w:rPr>
          <w:rFonts w:hint="eastAsia"/>
        </w:rPr>
        <w:t>MDA</w:t>
      </w:r>
      <w:r w:rsidR="00F25CEA">
        <w:rPr>
          <w:rFonts w:eastAsiaTheme="minorEastAsia" w:hint="eastAsia"/>
        </w:rPr>
        <w:t>)</w:t>
      </w:r>
      <w:r w:rsidRPr="006919DF">
        <w:rPr>
          <w:rFonts w:hint="eastAsia"/>
        </w:rPr>
        <w:t xml:space="preserve"> matrix introduces label leakage during cross-validation, we design a leakage-free control experiment. In each fold, we temporarily mask all positive samples in the validation set within the MDA matrix, recompute the GIP kernel similarity, and then train and evaluate the model with this recomputed similarity in parallel with the original setting, in which the complete matrix is used.</w:t>
      </w:r>
    </w:p>
    <w:p w14:paraId="60E72959" w14:textId="77777777" w:rsidR="00F25CEA" w:rsidRPr="00F25CEA" w:rsidRDefault="00F25CEA" w:rsidP="00F25CEA">
      <w:pPr>
        <w:rPr>
          <w:b/>
          <w:bCs/>
        </w:rPr>
      </w:pPr>
      <w:r w:rsidRPr="00F25CEA">
        <w:rPr>
          <w:b/>
          <w:bCs/>
        </w:rPr>
        <w:t>Figure 1 The Performance of the Leakage-free Control Experiment.</w:t>
      </w:r>
    </w:p>
    <w:p w14:paraId="1F2A1BEB" w14:textId="77777777" w:rsidR="00F25CEA" w:rsidRDefault="00F25CEA" w:rsidP="00F25CEA">
      <w:pPr>
        <w:ind w:leftChars="-337" w:left="-741"/>
      </w:pPr>
      <w:r>
        <w:rPr>
          <w:rFonts w:hint="eastAsia"/>
          <w:noProof/>
        </w:rPr>
        <w:drawing>
          <wp:inline distT="0" distB="0" distL="0" distR="0" wp14:anchorId="324F949E" wp14:editId="320548D7">
            <wp:extent cx="6508377" cy="2394606"/>
            <wp:effectExtent l="0" t="0" r="0" b="0"/>
            <wp:docPr id="98419634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196347" name="图片 984196347"/>
                    <pic:cNvPicPr/>
                  </pic:nvPicPr>
                  <pic:blipFill>
                    <a:blip r:embed="rId6" cstate="print">
                      <a:extLst>
                        <a:ext uri="{28A0092B-C50C-407E-A947-70E740481C1C}">
                          <a14:useLocalDpi xmlns:a14="http://schemas.microsoft.com/office/drawing/2010/main" val="0"/>
                        </a:ext>
                      </a:extLst>
                    </a:blip>
                    <a:stretch>
                      <a:fillRect/>
                    </a:stretch>
                  </pic:blipFill>
                  <pic:spPr>
                    <a:xfrm>
                      <a:off x="0" y="0"/>
                      <a:ext cx="6546715" cy="2408711"/>
                    </a:xfrm>
                    <a:prstGeom prst="rect">
                      <a:avLst/>
                    </a:prstGeom>
                  </pic:spPr>
                </pic:pic>
              </a:graphicData>
            </a:graphic>
          </wp:inline>
        </w:drawing>
      </w:r>
    </w:p>
    <w:p w14:paraId="2D7DBF05" w14:textId="77777777" w:rsidR="00F25CEA" w:rsidRPr="00F25CEA" w:rsidRDefault="00F25CEA" w:rsidP="00F25CEA">
      <w:pPr>
        <w:widowControl/>
        <w:spacing w:after="160" w:line="256" w:lineRule="auto"/>
        <w:ind w:leftChars="-405" w:left="-891"/>
        <w:contextualSpacing/>
        <w:jc w:val="left"/>
        <w:rPr>
          <w:b/>
          <w:bCs/>
        </w:rPr>
      </w:pPr>
      <w:r w:rsidRPr="00F25CEA">
        <w:rPr>
          <w:b/>
          <w:bCs/>
        </w:rPr>
        <w:t xml:space="preserve">Table </w:t>
      </w:r>
      <w:r w:rsidRPr="00F25CEA">
        <w:rPr>
          <w:rFonts w:hint="eastAsia"/>
          <w:b/>
          <w:bCs/>
        </w:rPr>
        <w:t>1</w:t>
      </w:r>
      <w:r w:rsidRPr="00F25CEA">
        <w:rPr>
          <w:b/>
          <w:bCs/>
        </w:rPr>
        <w:t>. Performance comparison between original GIP and leakage-free control</w:t>
      </w:r>
      <w:r w:rsidRPr="00F25CEA">
        <w:rPr>
          <w:rFonts w:hint="eastAsia"/>
          <w:b/>
          <w:bCs/>
        </w:rPr>
        <w:t xml:space="preserve"> </w:t>
      </w:r>
      <w:r w:rsidRPr="00F25CEA">
        <w:rPr>
          <w:b/>
          <w:bCs/>
        </w:rPr>
        <w:t>experiment.</w:t>
      </w:r>
    </w:p>
    <w:tbl>
      <w:tblPr>
        <w:tblW w:w="10207" w:type="dxa"/>
        <w:jc w:val="center"/>
        <w:tblLook w:val="04A0" w:firstRow="1" w:lastRow="0" w:firstColumn="1" w:lastColumn="0" w:noHBand="0" w:noVBand="1"/>
      </w:tblPr>
      <w:tblGrid>
        <w:gridCol w:w="754"/>
        <w:gridCol w:w="1657"/>
        <w:gridCol w:w="1559"/>
        <w:gridCol w:w="1166"/>
        <w:gridCol w:w="1953"/>
        <w:gridCol w:w="1842"/>
        <w:gridCol w:w="1276"/>
      </w:tblGrid>
      <w:tr w:rsidR="00F25CEA" w:rsidRPr="00B64BAF" w14:paraId="1A078552" w14:textId="77777777" w:rsidTr="002E2EEE">
        <w:trPr>
          <w:trHeight w:val="193"/>
          <w:jc w:val="center"/>
        </w:trPr>
        <w:tc>
          <w:tcPr>
            <w:tcW w:w="754" w:type="dxa"/>
            <w:tcBorders>
              <w:top w:val="single" w:sz="8" w:space="0" w:color="auto"/>
              <w:left w:val="nil"/>
              <w:bottom w:val="single" w:sz="8" w:space="0" w:color="auto"/>
              <w:right w:val="nil"/>
            </w:tcBorders>
            <w:noWrap/>
            <w:vAlign w:val="center"/>
            <w:hideMark/>
          </w:tcPr>
          <w:p w14:paraId="4C15E294" w14:textId="77777777" w:rsidR="00F25CEA" w:rsidRPr="00F25CEA" w:rsidRDefault="00F25CEA" w:rsidP="00F25CEA">
            <w:pPr>
              <w:widowControl/>
              <w:spacing w:line="276" w:lineRule="auto"/>
              <w:contextualSpacing/>
              <w:rPr>
                <w:b/>
                <w:bCs/>
              </w:rPr>
            </w:pPr>
            <w:bookmarkStart w:id="0" w:name="_Hlk186553752"/>
            <w:r w:rsidRPr="00F25CEA">
              <w:rPr>
                <w:b/>
                <w:bCs/>
              </w:rPr>
              <w:t>Fold</w:t>
            </w:r>
          </w:p>
        </w:tc>
        <w:tc>
          <w:tcPr>
            <w:tcW w:w="1657" w:type="dxa"/>
            <w:tcBorders>
              <w:top w:val="single" w:sz="8" w:space="0" w:color="auto"/>
              <w:left w:val="nil"/>
              <w:bottom w:val="single" w:sz="8" w:space="0" w:color="auto"/>
              <w:right w:val="nil"/>
            </w:tcBorders>
            <w:noWrap/>
            <w:vAlign w:val="center"/>
            <w:hideMark/>
          </w:tcPr>
          <w:p w14:paraId="7EA237B4" w14:textId="77777777" w:rsidR="00F25CEA" w:rsidRPr="00F25CEA" w:rsidRDefault="00F25CEA" w:rsidP="00F25CEA">
            <w:pPr>
              <w:widowControl/>
              <w:spacing w:line="276" w:lineRule="auto"/>
              <w:contextualSpacing/>
              <w:rPr>
                <w:b/>
                <w:bCs/>
              </w:rPr>
            </w:pPr>
            <w:r w:rsidRPr="00F25CEA">
              <w:rPr>
                <w:b/>
                <w:bCs/>
              </w:rPr>
              <w:t>AUC (</w:t>
            </w:r>
            <w:proofErr w:type="spellStart"/>
            <w:r w:rsidRPr="00F25CEA">
              <w:rPr>
                <w:b/>
                <w:bCs/>
              </w:rPr>
              <w:t>Orig</w:t>
            </w:r>
            <w:proofErr w:type="spellEnd"/>
            <w:r w:rsidRPr="00F25CEA">
              <w:rPr>
                <w:b/>
                <w:bCs/>
              </w:rPr>
              <w:t>, A)</w:t>
            </w:r>
          </w:p>
        </w:tc>
        <w:tc>
          <w:tcPr>
            <w:tcW w:w="1559" w:type="dxa"/>
            <w:tcBorders>
              <w:top w:val="single" w:sz="8" w:space="0" w:color="auto"/>
              <w:left w:val="nil"/>
              <w:bottom w:val="single" w:sz="8" w:space="0" w:color="auto"/>
              <w:right w:val="nil"/>
            </w:tcBorders>
            <w:noWrap/>
            <w:vAlign w:val="center"/>
            <w:hideMark/>
          </w:tcPr>
          <w:p w14:paraId="304002D5" w14:textId="77777777" w:rsidR="00F25CEA" w:rsidRPr="00F25CEA" w:rsidRDefault="00F25CEA" w:rsidP="00F25CEA">
            <w:pPr>
              <w:widowControl/>
              <w:spacing w:line="276" w:lineRule="auto"/>
              <w:contextualSpacing/>
              <w:jc w:val="center"/>
              <w:rPr>
                <w:b/>
                <w:bCs/>
              </w:rPr>
            </w:pPr>
            <w:r w:rsidRPr="00F25CEA">
              <w:rPr>
                <w:b/>
                <w:bCs/>
              </w:rPr>
              <w:t>AUC (Masked, B)</w:t>
            </w:r>
          </w:p>
        </w:tc>
        <w:tc>
          <w:tcPr>
            <w:tcW w:w="1166" w:type="dxa"/>
            <w:tcBorders>
              <w:top w:val="single" w:sz="8" w:space="0" w:color="auto"/>
              <w:left w:val="nil"/>
              <w:bottom w:val="single" w:sz="8" w:space="0" w:color="auto"/>
              <w:right w:val="nil"/>
            </w:tcBorders>
            <w:noWrap/>
            <w:vAlign w:val="center"/>
            <w:hideMark/>
          </w:tcPr>
          <w:p w14:paraId="22B96465" w14:textId="77777777" w:rsidR="00F25CEA" w:rsidRPr="00F25CEA" w:rsidRDefault="00F25CEA" w:rsidP="00F25CEA">
            <w:pPr>
              <w:widowControl/>
              <w:spacing w:line="276" w:lineRule="auto"/>
              <w:contextualSpacing/>
              <w:rPr>
                <w:b/>
                <w:bCs/>
              </w:rPr>
            </w:pPr>
            <w:r w:rsidRPr="00F25CEA">
              <w:rPr>
                <w:b/>
                <w:bCs/>
              </w:rPr>
              <w:t>ΔAUC (A–B)</w:t>
            </w:r>
          </w:p>
        </w:tc>
        <w:tc>
          <w:tcPr>
            <w:tcW w:w="1953" w:type="dxa"/>
            <w:tcBorders>
              <w:top w:val="single" w:sz="8" w:space="0" w:color="auto"/>
              <w:left w:val="nil"/>
              <w:bottom w:val="single" w:sz="8" w:space="0" w:color="auto"/>
              <w:right w:val="nil"/>
            </w:tcBorders>
            <w:noWrap/>
            <w:vAlign w:val="center"/>
            <w:hideMark/>
          </w:tcPr>
          <w:p w14:paraId="3D4D4751" w14:textId="77777777" w:rsidR="00F25CEA" w:rsidRPr="00F25CEA" w:rsidRDefault="00F25CEA" w:rsidP="00F25CEA">
            <w:pPr>
              <w:widowControl/>
              <w:spacing w:line="276" w:lineRule="auto"/>
              <w:contextualSpacing/>
              <w:rPr>
                <w:b/>
                <w:bCs/>
              </w:rPr>
            </w:pPr>
            <w:r w:rsidRPr="00F25CEA">
              <w:rPr>
                <w:b/>
                <w:bCs/>
              </w:rPr>
              <w:t>AUPRC (</w:t>
            </w:r>
            <w:proofErr w:type="spellStart"/>
            <w:r w:rsidRPr="00F25CEA">
              <w:rPr>
                <w:b/>
                <w:bCs/>
              </w:rPr>
              <w:t>Orig</w:t>
            </w:r>
            <w:proofErr w:type="spellEnd"/>
            <w:r w:rsidRPr="00F25CEA">
              <w:rPr>
                <w:b/>
                <w:bCs/>
              </w:rPr>
              <w:t>, A)</w:t>
            </w:r>
          </w:p>
        </w:tc>
        <w:tc>
          <w:tcPr>
            <w:tcW w:w="1842" w:type="dxa"/>
            <w:tcBorders>
              <w:top w:val="single" w:sz="8" w:space="0" w:color="auto"/>
              <w:left w:val="nil"/>
              <w:bottom w:val="single" w:sz="8" w:space="0" w:color="auto"/>
              <w:right w:val="nil"/>
            </w:tcBorders>
            <w:noWrap/>
            <w:vAlign w:val="center"/>
            <w:hideMark/>
          </w:tcPr>
          <w:p w14:paraId="58B5B2FC" w14:textId="41BFFBEB" w:rsidR="00F25CEA" w:rsidRPr="00F25CEA" w:rsidRDefault="00F25CEA" w:rsidP="00F25CEA">
            <w:pPr>
              <w:widowControl/>
              <w:spacing w:line="276" w:lineRule="auto"/>
              <w:contextualSpacing/>
              <w:jc w:val="center"/>
              <w:rPr>
                <w:rFonts w:eastAsiaTheme="minorEastAsia"/>
                <w:b/>
                <w:bCs/>
              </w:rPr>
            </w:pPr>
            <w:r w:rsidRPr="00F25CEA">
              <w:rPr>
                <w:b/>
                <w:bCs/>
              </w:rPr>
              <w:t>AUPRC</w:t>
            </w:r>
            <w:r>
              <w:rPr>
                <w:rFonts w:eastAsiaTheme="minorEastAsia" w:hint="eastAsia"/>
                <w:b/>
                <w:bCs/>
              </w:rPr>
              <w:t xml:space="preserve"> </w:t>
            </w:r>
            <w:r w:rsidRPr="00F25CEA">
              <w:rPr>
                <w:b/>
                <w:bCs/>
              </w:rPr>
              <w:t>(Masked, B)</w:t>
            </w:r>
          </w:p>
        </w:tc>
        <w:tc>
          <w:tcPr>
            <w:tcW w:w="1276" w:type="dxa"/>
            <w:tcBorders>
              <w:top w:val="single" w:sz="8" w:space="0" w:color="auto"/>
              <w:left w:val="nil"/>
              <w:bottom w:val="single" w:sz="8" w:space="0" w:color="auto"/>
              <w:right w:val="nil"/>
            </w:tcBorders>
            <w:noWrap/>
            <w:vAlign w:val="center"/>
            <w:hideMark/>
          </w:tcPr>
          <w:p w14:paraId="4DA04F1A" w14:textId="77777777" w:rsidR="00F25CEA" w:rsidRPr="00F25CEA" w:rsidRDefault="00F25CEA" w:rsidP="00F25CEA">
            <w:pPr>
              <w:widowControl/>
              <w:spacing w:line="276" w:lineRule="auto"/>
              <w:contextualSpacing/>
              <w:jc w:val="center"/>
              <w:rPr>
                <w:b/>
                <w:bCs/>
              </w:rPr>
            </w:pPr>
            <w:r w:rsidRPr="00F25CEA">
              <w:rPr>
                <w:b/>
                <w:bCs/>
              </w:rPr>
              <w:t>ΔAUPRC (A–B)</w:t>
            </w:r>
          </w:p>
        </w:tc>
      </w:tr>
      <w:tr w:rsidR="00F25CEA" w:rsidRPr="00B64BAF" w14:paraId="53B71CED" w14:textId="77777777" w:rsidTr="002E2EEE">
        <w:trPr>
          <w:trHeight w:val="193"/>
          <w:jc w:val="center"/>
        </w:trPr>
        <w:tc>
          <w:tcPr>
            <w:tcW w:w="754" w:type="dxa"/>
            <w:tcBorders>
              <w:top w:val="single" w:sz="8" w:space="0" w:color="auto"/>
              <w:left w:val="nil"/>
              <w:bottom w:val="nil"/>
              <w:right w:val="nil"/>
            </w:tcBorders>
            <w:noWrap/>
            <w:vAlign w:val="center"/>
            <w:hideMark/>
          </w:tcPr>
          <w:p w14:paraId="2D924B58" w14:textId="77777777" w:rsidR="00F25CEA" w:rsidRPr="00F25CEA" w:rsidRDefault="00F25CEA" w:rsidP="00F25CEA">
            <w:pPr>
              <w:widowControl/>
              <w:spacing w:line="276" w:lineRule="auto"/>
              <w:contextualSpacing/>
            </w:pPr>
            <w:r w:rsidRPr="00F25CEA">
              <w:t>1</w:t>
            </w:r>
          </w:p>
        </w:tc>
        <w:tc>
          <w:tcPr>
            <w:tcW w:w="1657" w:type="dxa"/>
            <w:tcBorders>
              <w:top w:val="single" w:sz="8" w:space="0" w:color="auto"/>
              <w:left w:val="nil"/>
              <w:bottom w:val="nil"/>
              <w:right w:val="nil"/>
            </w:tcBorders>
            <w:noWrap/>
            <w:vAlign w:val="center"/>
            <w:hideMark/>
          </w:tcPr>
          <w:p w14:paraId="60613D6B" w14:textId="77777777" w:rsidR="00F25CEA" w:rsidRPr="00F25CEA" w:rsidRDefault="00F25CEA" w:rsidP="002E2EEE">
            <w:pPr>
              <w:widowControl/>
              <w:spacing w:line="276" w:lineRule="auto"/>
              <w:contextualSpacing/>
              <w:jc w:val="center"/>
            </w:pPr>
            <w:r w:rsidRPr="00F25CEA">
              <w:t>0.967948</w:t>
            </w:r>
          </w:p>
        </w:tc>
        <w:tc>
          <w:tcPr>
            <w:tcW w:w="1559" w:type="dxa"/>
            <w:tcBorders>
              <w:top w:val="single" w:sz="8" w:space="0" w:color="auto"/>
              <w:left w:val="nil"/>
              <w:bottom w:val="nil"/>
              <w:right w:val="nil"/>
            </w:tcBorders>
            <w:noWrap/>
            <w:vAlign w:val="center"/>
            <w:hideMark/>
          </w:tcPr>
          <w:p w14:paraId="0D7E1288" w14:textId="77777777" w:rsidR="00F25CEA" w:rsidRPr="00F25CEA" w:rsidRDefault="00F25CEA" w:rsidP="002E2EEE">
            <w:pPr>
              <w:widowControl/>
              <w:spacing w:line="276" w:lineRule="auto"/>
              <w:contextualSpacing/>
              <w:jc w:val="center"/>
            </w:pPr>
            <w:r w:rsidRPr="00F25CEA">
              <w:t>0.968892</w:t>
            </w:r>
          </w:p>
        </w:tc>
        <w:tc>
          <w:tcPr>
            <w:tcW w:w="1166" w:type="dxa"/>
            <w:tcBorders>
              <w:top w:val="single" w:sz="8" w:space="0" w:color="auto"/>
              <w:left w:val="nil"/>
              <w:bottom w:val="nil"/>
              <w:right w:val="nil"/>
            </w:tcBorders>
            <w:noWrap/>
            <w:vAlign w:val="center"/>
            <w:hideMark/>
          </w:tcPr>
          <w:p w14:paraId="3899AB05" w14:textId="77777777" w:rsidR="00F25CEA" w:rsidRPr="00F25CEA" w:rsidRDefault="00F25CEA" w:rsidP="002E2EEE">
            <w:pPr>
              <w:widowControl/>
              <w:spacing w:line="276" w:lineRule="auto"/>
              <w:contextualSpacing/>
              <w:jc w:val="center"/>
            </w:pPr>
            <w:r w:rsidRPr="00F25CEA">
              <w:t>–0.000944</w:t>
            </w:r>
          </w:p>
        </w:tc>
        <w:tc>
          <w:tcPr>
            <w:tcW w:w="1953" w:type="dxa"/>
            <w:tcBorders>
              <w:top w:val="single" w:sz="8" w:space="0" w:color="auto"/>
              <w:left w:val="nil"/>
              <w:bottom w:val="nil"/>
              <w:right w:val="nil"/>
            </w:tcBorders>
            <w:noWrap/>
            <w:vAlign w:val="center"/>
            <w:hideMark/>
          </w:tcPr>
          <w:p w14:paraId="7A42C0D2" w14:textId="77777777" w:rsidR="00F25CEA" w:rsidRPr="00F25CEA" w:rsidRDefault="00F25CEA" w:rsidP="002E2EEE">
            <w:pPr>
              <w:widowControl/>
              <w:spacing w:line="276" w:lineRule="auto"/>
              <w:contextualSpacing/>
              <w:jc w:val="center"/>
            </w:pPr>
            <w:r w:rsidRPr="00F25CEA">
              <w:t>0.964166</w:t>
            </w:r>
          </w:p>
        </w:tc>
        <w:tc>
          <w:tcPr>
            <w:tcW w:w="1842" w:type="dxa"/>
            <w:tcBorders>
              <w:top w:val="single" w:sz="8" w:space="0" w:color="auto"/>
              <w:left w:val="nil"/>
              <w:bottom w:val="nil"/>
              <w:right w:val="nil"/>
            </w:tcBorders>
            <w:noWrap/>
            <w:vAlign w:val="center"/>
            <w:hideMark/>
          </w:tcPr>
          <w:p w14:paraId="6DEC289B" w14:textId="77777777" w:rsidR="00F25CEA" w:rsidRPr="00F25CEA" w:rsidRDefault="00F25CEA" w:rsidP="002E2EEE">
            <w:pPr>
              <w:widowControl/>
              <w:spacing w:line="276" w:lineRule="auto"/>
              <w:contextualSpacing/>
              <w:jc w:val="center"/>
            </w:pPr>
            <w:r w:rsidRPr="00F25CEA">
              <w:t>0.964993</w:t>
            </w:r>
          </w:p>
        </w:tc>
        <w:tc>
          <w:tcPr>
            <w:tcW w:w="1276" w:type="dxa"/>
            <w:tcBorders>
              <w:top w:val="single" w:sz="8" w:space="0" w:color="auto"/>
              <w:left w:val="nil"/>
              <w:bottom w:val="nil"/>
              <w:right w:val="nil"/>
            </w:tcBorders>
            <w:noWrap/>
            <w:vAlign w:val="center"/>
            <w:hideMark/>
          </w:tcPr>
          <w:p w14:paraId="17DEA6F1" w14:textId="77777777" w:rsidR="00F25CEA" w:rsidRPr="00F25CEA" w:rsidRDefault="00F25CEA" w:rsidP="002E2EEE">
            <w:pPr>
              <w:widowControl/>
              <w:spacing w:line="276" w:lineRule="auto"/>
              <w:contextualSpacing/>
              <w:jc w:val="center"/>
            </w:pPr>
            <w:r w:rsidRPr="00F25CEA">
              <w:t>–0.000827</w:t>
            </w:r>
          </w:p>
        </w:tc>
      </w:tr>
      <w:tr w:rsidR="00F25CEA" w:rsidRPr="00B64BAF" w14:paraId="6B35E144" w14:textId="77777777" w:rsidTr="002E2EEE">
        <w:trPr>
          <w:trHeight w:val="193"/>
          <w:jc w:val="center"/>
        </w:trPr>
        <w:tc>
          <w:tcPr>
            <w:tcW w:w="754" w:type="dxa"/>
            <w:noWrap/>
            <w:vAlign w:val="center"/>
            <w:hideMark/>
          </w:tcPr>
          <w:p w14:paraId="32DDA4D6" w14:textId="77777777" w:rsidR="00F25CEA" w:rsidRPr="00F25CEA" w:rsidRDefault="00F25CEA" w:rsidP="00F25CEA">
            <w:pPr>
              <w:widowControl/>
              <w:spacing w:line="276" w:lineRule="auto"/>
              <w:contextualSpacing/>
            </w:pPr>
            <w:r w:rsidRPr="00F25CEA">
              <w:t>2</w:t>
            </w:r>
          </w:p>
        </w:tc>
        <w:tc>
          <w:tcPr>
            <w:tcW w:w="1657" w:type="dxa"/>
            <w:noWrap/>
            <w:vAlign w:val="center"/>
            <w:hideMark/>
          </w:tcPr>
          <w:p w14:paraId="7C097F6E" w14:textId="77777777" w:rsidR="00F25CEA" w:rsidRPr="00F25CEA" w:rsidRDefault="00F25CEA" w:rsidP="002E2EEE">
            <w:pPr>
              <w:widowControl/>
              <w:spacing w:line="276" w:lineRule="auto"/>
              <w:contextualSpacing/>
              <w:jc w:val="center"/>
            </w:pPr>
            <w:r w:rsidRPr="00F25CEA">
              <w:t>0.966570</w:t>
            </w:r>
          </w:p>
        </w:tc>
        <w:tc>
          <w:tcPr>
            <w:tcW w:w="1559" w:type="dxa"/>
            <w:noWrap/>
            <w:vAlign w:val="center"/>
            <w:hideMark/>
          </w:tcPr>
          <w:p w14:paraId="136A8910" w14:textId="77777777" w:rsidR="00F25CEA" w:rsidRPr="00F25CEA" w:rsidRDefault="00F25CEA" w:rsidP="002E2EEE">
            <w:pPr>
              <w:widowControl/>
              <w:spacing w:line="276" w:lineRule="auto"/>
              <w:contextualSpacing/>
              <w:jc w:val="center"/>
            </w:pPr>
            <w:r w:rsidRPr="00F25CEA">
              <w:t>0.968417</w:t>
            </w:r>
          </w:p>
        </w:tc>
        <w:tc>
          <w:tcPr>
            <w:tcW w:w="1166" w:type="dxa"/>
            <w:noWrap/>
            <w:vAlign w:val="center"/>
            <w:hideMark/>
          </w:tcPr>
          <w:p w14:paraId="7918E614" w14:textId="77777777" w:rsidR="00F25CEA" w:rsidRPr="00F25CEA" w:rsidRDefault="00F25CEA" w:rsidP="002E2EEE">
            <w:pPr>
              <w:widowControl/>
              <w:spacing w:line="276" w:lineRule="auto"/>
              <w:contextualSpacing/>
              <w:jc w:val="center"/>
            </w:pPr>
            <w:r w:rsidRPr="00F25CEA">
              <w:t>–0.001847</w:t>
            </w:r>
          </w:p>
        </w:tc>
        <w:tc>
          <w:tcPr>
            <w:tcW w:w="1953" w:type="dxa"/>
            <w:noWrap/>
            <w:vAlign w:val="center"/>
            <w:hideMark/>
          </w:tcPr>
          <w:p w14:paraId="4B3F811B" w14:textId="77777777" w:rsidR="00F25CEA" w:rsidRPr="00F25CEA" w:rsidRDefault="00F25CEA" w:rsidP="002E2EEE">
            <w:pPr>
              <w:widowControl/>
              <w:spacing w:line="276" w:lineRule="auto"/>
              <w:contextualSpacing/>
              <w:jc w:val="center"/>
            </w:pPr>
            <w:r w:rsidRPr="00F25CEA">
              <w:t>0.961557</w:t>
            </w:r>
          </w:p>
        </w:tc>
        <w:tc>
          <w:tcPr>
            <w:tcW w:w="1842" w:type="dxa"/>
            <w:noWrap/>
            <w:vAlign w:val="center"/>
            <w:hideMark/>
          </w:tcPr>
          <w:p w14:paraId="5E48BBC1" w14:textId="77777777" w:rsidR="00F25CEA" w:rsidRPr="00F25CEA" w:rsidRDefault="00F25CEA" w:rsidP="002E2EEE">
            <w:pPr>
              <w:widowControl/>
              <w:spacing w:line="276" w:lineRule="auto"/>
              <w:contextualSpacing/>
              <w:jc w:val="center"/>
            </w:pPr>
            <w:r w:rsidRPr="00F25CEA">
              <w:t>0.963008</w:t>
            </w:r>
          </w:p>
        </w:tc>
        <w:tc>
          <w:tcPr>
            <w:tcW w:w="1276" w:type="dxa"/>
            <w:noWrap/>
            <w:vAlign w:val="center"/>
            <w:hideMark/>
          </w:tcPr>
          <w:p w14:paraId="2757B7E0" w14:textId="77777777" w:rsidR="00F25CEA" w:rsidRPr="00F25CEA" w:rsidRDefault="00F25CEA" w:rsidP="002E2EEE">
            <w:pPr>
              <w:widowControl/>
              <w:spacing w:line="276" w:lineRule="auto"/>
              <w:contextualSpacing/>
              <w:jc w:val="center"/>
            </w:pPr>
            <w:r w:rsidRPr="00F25CEA">
              <w:t>–0.001451</w:t>
            </w:r>
          </w:p>
        </w:tc>
      </w:tr>
      <w:tr w:rsidR="00F25CEA" w:rsidRPr="00B64BAF" w14:paraId="3F5D963A" w14:textId="77777777" w:rsidTr="002E2EEE">
        <w:trPr>
          <w:trHeight w:val="193"/>
          <w:jc w:val="center"/>
        </w:trPr>
        <w:tc>
          <w:tcPr>
            <w:tcW w:w="754" w:type="dxa"/>
            <w:noWrap/>
            <w:vAlign w:val="center"/>
            <w:hideMark/>
          </w:tcPr>
          <w:p w14:paraId="0D0FE631" w14:textId="77777777" w:rsidR="00F25CEA" w:rsidRPr="00F25CEA" w:rsidRDefault="00F25CEA" w:rsidP="00F25CEA">
            <w:pPr>
              <w:widowControl/>
              <w:spacing w:line="276" w:lineRule="auto"/>
              <w:contextualSpacing/>
            </w:pPr>
            <w:r w:rsidRPr="00F25CEA">
              <w:t>3</w:t>
            </w:r>
          </w:p>
        </w:tc>
        <w:tc>
          <w:tcPr>
            <w:tcW w:w="1657" w:type="dxa"/>
            <w:noWrap/>
            <w:vAlign w:val="center"/>
            <w:hideMark/>
          </w:tcPr>
          <w:p w14:paraId="35FE9C46" w14:textId="77777777" w:rsidR="00F25CEA" w:rsidRPr="00F25CEA" w:rsidRDefault="00F25CEA" w:rsidP="002E2EEE">
            <w:pPr>
              <w:widowControl/>
              <w:spacing w:line="276" w:lineRule="auto"/>
              <w:contextualSpacing/>
              <w:jc w:val="center"/>
            </w:pPr>
            <w:r w:rsidRPr="00F25CEA">
              <w:t>0.969776</w:t>
            </w:r>
          </w:p>
        </w:tc>
        <w:tc>
          <w:tcPr>
            <w:tcW w:w="1559" w:type="dxa"/>
            <w:noWrap/>
            <w:vAlign w:val="center"/>
            <w:hideMark/>
          </w:tcPr>
          <w:p w14:paraId="03BE054C" w14:textId="77777777" w:rsidR="00F25CEA" w:rsidRPr="00F25CEA" w:rsidRDefault="00F25CEA" w:rsidP="002E2EEE">
            <w:pPr>
              <w:widowControl/>
              <w:spacing w:line="276" w:lineRule="auto"/>
              <w:contextualSpacing/>
              <w:jc w:val="center"/>
            </w:pPr>
            <w:r w:rsidRPr="00F25CEA">
              <w:t>0.969302</w:t>
            </w:r>
          </w:p>
        </w:tc>
        <w:tc>
          <w:tcPr>
            <w:tcW w:w="1166" w:type="dxa"/>
            <w:noWrap/>
            <w:vAlign w:val="center"/>
            <w:hideMark/>
          </w:tcPr>
          <w:p w14:paraId="2BDDDC3F" w14:textId="77777777" w:rsidR="00F25CEA" w:rsidRPr="00F25CEA" w:rsidRDefault="00F25CEA" w:rsidP="002E2EEE">
            <w:pPr>
              <w:widowControl/>
              <w:spacing w:line="276" w:lineRule="auto"/>
              <w:contextualSpacing/>
              <w:jc w:val="center"/>
            </w:pPr>
            <w:r w:rsidRPr="00F25CEA">
              <w:t>+0.000474</w:t>
            </w:r>
          </w:p>
        </w:tc>
        <w:tc>
          <w:tcPr>
            <w:tcW w:w="1953" w:type="dxa"/>
            <w:noWrap/>
            <w:vAlign w:val="center"/>
            <w:hideMark/>
          </w:tcPr>
          <w:p w14:paraId="79573A18" w14:textId="77777777" w:rsidR="00F25CEA" w:rsidRPr="00F25CEA" w:rsidRDefault="00F25CEA" w:rsidP="002E2EEE">
            <w:pPr>
              <w:widowControl/>
              <w:spacing w:line="276" w:lineRule="auto"/>
              <w:contextualSpacing/>
              <w:jc w:val="center"/>
            </w:pPr>
            <w:r w:rsidRPr="00F25CEA">
              <w:t>0.965005</w:t>
            </w:r>
          </w:p>
        </w:tc>
        <w:tc>
          <w:tcPr>
            <w:tcW w:w="1842" w:type="dxa"/>
            <w:noWrap/>
            <w:vAlign w:val="center"/>
            <w:hideMark/>
          </w:tcPr>
          <w:p w14:paraId="225CA96D" w14:textId="77777777" w:rsidR="00F25CEA" w:rsidRPr="00F25CEA" w:rsidRDefault="00F25CEA" w:rsidP="002E2EEE">
            <w:pPr>
              <w:widowControl/>
              <w:spacing w:line="276" w:lineRule="auto"/>
              <w:contextualSpacing/>
              <w:jc w:val="center"/>
            </w:pPr>
            <w:r w:rsidRPr="00F25CEA">
              <w:t>0.964261</w:t>
            </w:r>
          </w:p>
        </w:tc>
        <w:tc>
          <w:tcPr>
            <w:tcW w:w="1276" w:type="dxa"/>
            <w:noWrap/>
            <w:vAlign w:val="center"/>
            <w:hideMark/>
          </w:tcPr>
          <w:p w14:paraId="57DC7411" w14:textId="77777777" w:rsidR="00F25CEA" w:rsidRPr="00F25CEA" w:rsidRDefault="00F25CEA" w:rsidP="002E2EEE">
            <w:pPr>
              <w:widowControl/>
              <w:spacing w:line="276" w:lineRule="auto"/>
              <w:contextualSpacing/>
              <w:jc w:val="center"/>
            </w:pPr>
            <w:r w:rsidRPr="00F25CEA">
              <w:t>+0.000744</w:t>
            </w:r>
          </w:p>
        </w:tc>
      </w:tr>
      <w:tr w:rsidR="00F25CEA" w:rsidRPr="00B64BAF" w14:paraId="2EDC41FD" w14:textId="77777777" w:rsidTr="002E2EEE">
        <w:trPr>
          <w:trHeight w:val="193"/>
          <w:jc w:val="center"/>
        </w:trPr>
        <w:tc>
          <w:tcPr>
            <w:tcW w:w="754" w:type="dxa"/>
            <w:noWrap/>
            <w:vAlign w:val="center"/>
            <w:hideMark/>
          </w:tcPr>
          <w:p w14:paraId="0459180C" w14:textId="77777777" w:rsidR="00F25CEA" w:rsidRPr="00F25CEA" w:rsidRDefault="00F25CEA" w:rsidP="00F25CEA">
            <w:pPr>
              <w:widowControl/>
              <w:spacing w:line="276" w:lineRule="auto"/>
              <w:contextualSpacing/>
            </w:pPr>
            <w:r w:rsidRPr="00F25CEA">
              <w:t>4</w:t>
            </w:r>
          </w:p>
        </w:tc>
        <w:tc>
          <w:tcPr>
            <w:tcW w:w="1657" w:type="dxa"/>
            <w:noWrap/>
            <w:vAlign w:val="center"/>
            <w:hideMark/>
          </w:tcPr>
          <w:p w14:paraId="68FC4A31" w14:textId="77777777" w:rsidR="00F25CEA" w:rsidRPr="00F25CEA" w:rsidRDefault="00F25CEA" w:rsidP="002E2EEE">
            <w:pPr>
              <w:widowControl/>
              <w:spacing w:line="276" w:lineRule="auto"/>
              <w:contextualSpacing/>
              <w:jc w:val="center"/>
            </w:pPr>
            <w:r w:rsidRPr="00F25CEA">
              <w:t>0.968939</w:t>
            </w:r>
          </w:p>
        </w:tc>
        <w:tc>
          <w:tcPr>
            <w:tcW w:w="1559" w:type="dxa"/>
            <w:noWrap/>
            <w:vAlign w:val="center"/>
            <w:hideMark/>
          </w:tcPr>
          <w:p w14:paraId="31B71EBB" w14:textId="77777777" w:rsidR="00F25CEA" w:rsidRPr="00F25CEA" w:rsidRDefault="00F25CEA" w:rsidP="002E2EEE">
            <w:pPr>
              <w:widowControl/>
              <w:spacing w:line="276" w:lineRule="auto"/>
              <w:ind w:leftChars="-119" w:left="-262" w:firstLineChars="119" w:firstLine="262"/>
              <w:contextualSpacing/>
              <w:jc w:val="center"/>
            </w:pPr>
            <w:r w:rsidRPr="00F25CEA">
              <w:t>0.968903</w:t>
            </w:r>
          </w:p>
        </w:tc>
        <w:tc>
          <w:tcPr>
            <w:tcW w:w="1166" w:type="dxa"/>
            <w:noWrap/>
            <w:vAlign w:val="center"/>
            <w:hideMark/>
          </w:tcPr>
          <w:p w14:paraId="5922B91C" w14:textId="77777777" w:rsidR="00F25CEA" w:rsidRPr="00F25CEA" w:rsidRDefault="00F25CEA" w:rsidP="002E2EEE">
            <w:pPr>
              <w:widowControl/>
              <w:spacing w:line="276" w:lineRule="auto"/>
              <w:contextualSpacing/>
              <w:jc w:val="center"/>
            </w:pPr>
            <w:r w:rsidRPr="00F25CEA">
              <w:t>+0.000037</w:t>
            </w:r>
          </w:p>
        </w:tc>
        <w:tc>
          <w:tcPr>
            <w:tcW w:w="1953" w:type="dxa"/>
            <w:noWrap/>
            <w:vAlign w:val="center"/>
            <w:hideMark/>
          </w:tcPr>
          <w:p w14:paraId="24244476" w14:textId="77777777" w:rsidR="00F25CEA" w:rsidRPr="00F25CEA" w:rsidRDefault="00F25CEA" w:rsidP="002E2EEE">
            <w:pPr>
              <w:widowControl/>
              <w:spacing w:line="276" w:lineRule="auto"/>
              <w:contextualSpacing/>
              <w:jc w:val="center"/>
            </w:pPr>
            <w:r w:rsidRPr="00F25CEA">
              <w:t>0.965036</w:t>
            </w:r>
          </w:p>
        </w:tc>
        <w:tc>
          <w:tcPr>
            <w:tcW w:w="1842" w:type="dxa"/>
            <w:noWrap/>
            <w:vAlign w:val="center"/>
            <w:hideMark/>
          </w:tcPr>
          <w:p w14:paraId="1E631BD1" w14:textId="77777777" w:rsidR="00F25CEA" w:rsidRPr="00F25CEA" w:rsidRDefault="00F25CEA" w:rsidP="002E2EEE">
            <w:pPr>
              <w:widowControl/>
              <w:spacing w:line="276" w:lineRule="auto"/>
              <w:contextualSpacing/>
              <w:jc w:val="center"/>
            </w:pPr>
            <w:r w:rsidRPr="00F25CEA">
              <w:t>0.965318</w:t>
            </w:r>
          </w:p>
        </w:tc>
        <w:tc>
          <w:tcPr>
            <w:tcW w:w="1276" w:type="dxa"/>
            <w:noWrap/>
            <w:vAlign w:val="center"/>
            <w:hideMark/>
          </w:tcPr>
          <w:p w14:paraId="5B2ED633" w14:textId="77777777" w:rsidR="00F25CEA" w:rsidRPr="00F25CEA" w:rsidRDefault="00F25CEA" w:rsidP="002E2EEE">
            <w:pPr>
              <w:widowControl/>
              <w:spacing w:line="276" w:lineRule="auto"/>
              <w:contextualSpacing/>
              <w:jc w:val="center"/>
            </w:pPr>
            <w:r w:rsidRPr="00F25CEA">
              <w:t>–0.000282</w:t>
            </w:r>
          </w:p>
        </w:tc>
      </w:tr>
      <w:tr w:rsidR="00F25CEA" w:rsidRPr="00B64BAF" w14:paraId="304068AD" w14:textId="77777777" w:rsidTr="002E2EEE">
        <w:trPr>
          <w:trHeight w:val="193"/>
          <w:jc w:val="center"/>
        </w:trPr>
        <w:tc>
          <w:tcPr>
            <w:tcW w:w="754" w:type="dxa"/>
            <w:noWrap/>
            <w:vAlign w:val="center"/>
          </w:tcPr>
          <w:p w14:paraId="52DC4A1F" w14:textId="77777777" w:rsidR="00F25CEA" w:rsidRPr="00F25CEA" w:rsidRDefault="00F25CEA" w:rsidP="00F25CEA">
            <w:pPr>
              <w:widowControl/>
              <w:spacing w:line="276" w:lineRule="auto"/>
              <w:contextualSpacing/>
            </w:pPr>
            <w:r w:rsidRPr="00F25CEA">
              <w:t>5</w:t>
            </w:r>
          </w:p>
        </w:tc>
        <w:tc>
          <w:tcPr>
            <w:tcW w:w="1657" w:type="dxa"/>
            <w:noWrap/>
            <w:vAlign w:val="center"/>
          </w:tcPr>
          <w:p w14:paraId="68145E7A" w14:textId="77777777" w:rsidR="00F25CEA" w:rsidRPr="00F25CEA" w:rsidRDefault="00F25CEA" w:rsidP="002E2EEE">
            <w:pPr>
              <w:widowControl/>
              <w:spacing w:line="276" w:lineRule="auto"/>
              <w:contextualSpacing/>
              <w:jc w:val="center"/>
            </w:pPr>
            <w:r w:rsidRPr="00F25CEA">
              <w:t>0.969322</w:t>
            </w:r>
          </w:p>
        </w:tc>
        <w:tc>
          <w:tcPr>
            <w:tcW w:w="1559" w:type="dxa"/>
            <w:noWrap/>
            <w:vAlign w:val="center"/>
          </w:tcPr>
          <w:p w14:paraId="707958A4" w14:textId="77777777" w:rsidR="00F25CEA" w:rsidRPr="00F25CEA" w:rsidRDefault="00F25CEA" w:rsidP="002E2EEE">
            <w:pPr>
              <w:widowControl/>
              <w:spacing w:line="276" w:lineRule="auto"/>
              <w:contextualSpacing/>
              <w:jc w:val="center"/>
            </w:pPr>
            <w:r w:rsidRPr="00F25CEA">
              <w:t>0.969502</w:t>
            </w:r>
          </w:p>
        </w:tc>
        <w:tc>
          <w:tcPr>
            <w:tcW w:w="1166" w:type="dxa"/>
            <w:noWrap/>
            <w:vAlign w:val="center"/>
          </w:tcPr>
          <w:p w14:paraId="7A4A821D" w14:textId="77777777" w:rsidR="00F25CEA" w:rsidRPr="00F25CEA" w:rsidRDefault="00F25CEA" w:rsidP="002E2EEE">
            <w:pPr>
              <w:widowControl/>
              <w:spacing w:line="276" w:lineRule="auto"/>
              <w:contextualSpacing/>
              <w:jc w:val="center"/>
            </w:pPr>
            <w:r w:rsidRPr="00F25CEA">
              <w:t>–0.000179</w:t>
            </w:r>
          </w:p>
        </w:tc>
        <w:tc>
          <w:tcPr>
            <w:tcW w:w="1953" w:type="dxa"/>
            <w:noWrap/>
            <w:vAlign w:val="center"/>
          </w:tcPr>
          <w:p w14:paraId="176E7A2A" w14:textId="77777777" w:rsidR="00F25CEA" w:rsidRPr="00F25CEA" w:rsidRDefault="00F25CEA" w:rsidP="002E2EEE">
            <w:pPr>
              <w:widowControl/>
              <w:spacing w:line="276" w:lineRule="auto"/>
              <w:contextualSpacing/>
              <w:jc w:val="center"/>
            </w:pPr>
            <w:r w:rsidRPr="00F25CEA">
              <w:t>0.964774</w:t>
            </w:r>
          </w:p>
        </w:tc>
        <w:tc>
          <w:tcPr>
            <w:tcW w:w="1842" w:type="dxa"/>
            <w:noWrap/>
            <w:vAlign w:val="center"/>
          </w:tcPr>
          <w:p w14:paraId="045158D4" w14:textId="77777777" w:rsidR="00F25CEA" w:rsidRPr="00F25CEA" w:rsidRDefault="00F25CEA" w:rsidP="002E2EEE">
            <w:pPr>
              <w:widowControl/>
              <w:spacing w:line="276" w:lineRule="auto"/>
              <w:contextualSpacing/>
              <w:jc w:val="center"/>
            </w:pPr>
            <w:r w:rsidRPr="00F25CEA">
              <w:t>0.965114</w:t>
            </w:r>
          </w:p>
        </w:tc>
        <w:tc>
          <w:tcPr>
            <w:tcW w:w="1276" w:type="dxa"/>
            <w:noWrap/>
            <w:vAlign w:val="center"/>
          </w:tcPr>
          <w:p w14:paraId="3FC98000" w14:textId="77777777" w:rsidR="00F25CEA" w:rsidRPr="00F25CEA" w:rsidRDefault="00F25CEA" w:rsidP="002E2EEE">
            <w:pPr>
              <w:widowControl/>
              <w:spacing w:line="276" w:lineRule="auto"/>
              <w:contextualSpacing/>
              <w:jc w:val="center"/>
            </w:pPr>
            <w:r w:rsidRPr="00F25CEA">
              <w:t>–0.000340</w:t>
            </w:r>
          </w:p>
        </w:tc>
      </w:tr>
      <w:tr w:rsidR="00F25CEA" w:rsidRPr="00B64BAF" w14:paraId="2EEC487B" w14:textId="77777777" w:rsidTr="002E2EEE">
        <w:trPr>
          <w:trHeight w:val="193"/>
          <w:jc w:val="center"/>
        </w:trPr>
        <w:tc>
          <w:tcPr>
            <w:tcW w:w="754" w:type="dxa"/>
            <w:noWrap/>
            <w:vAlign w:val="center"/>
          </w:tcPr>
          <w:p w14:paraId="31FC852C" w14:textId="77777777" w:rsidR="00F25CEA" w:rsidRPr="00F25CEA" w:rsidRDefault="00F25CEA" w:rsidP="00F25CEA">
            <w:pPr>
              <w:widowControl/>
              <w:spacing w:line="276" w:lineRule="auto"/>
              <w:contextualSpacing/>
            </w:pPr>
            <w:r w:rsidRPr="00F25CEA">
              <w:rPr>
                <w:b/>
                <w:bCs/>
              </w:rPr>
              <w:t>Mean</w:t>
            </w:r>
          </w:p>
        </w:tc>
        <w:tc>
          <w:tcPr>
            <w:tcW w:w="1657" w:type="dxa"/>
            <w:noWrap/>
            <w:vAlign w:val="center"/>
          </w:tcPr>
          <w:p w14:paraId="3F8DB809" w14:textId="77777777" w:rsidR="00F25CEA" w:rsidRPr="00F25CEA" w:rsidRDefault="00F25CEA" w:rsidP="002E2EEE">
            <w:pPr>
              <w:widowControl/>
              <w:spacing w:line="276" w:lineRule="auto"/>
              <w:contextualSpacing/>
              <w:jc w:val="center"/>
            </w:pPr>
            <w:r w:rsidRPr="00F25CEA">
              <w:rPr>
                <w:b/>
                <w:bCs/>
              </w:rPr>
              <w:t>0.9689</w:t>
            </w:r>
          </w:p>
        </w:tc>
        <w:tc>
          <w:tcPr>
            <w:tcW w:w="1559" w:type="dxa"/>
            <w:noWrap/>
            <w:vAlign w:val="center"/>
          </w:tcPr>
          <w:p w14:paraId="3AD9FCF3" w14:textId="77777777" w:rsidR="00F25CEA" w:rsidRPr="00F25CEA" w:rsidRDefault="00F25CEA" w:rsidP="002E2EEE">
            <w:pPr>
              <w:widowControl/>
              <w:spacing w:line="276" w:lineRule="auto"/>
              <w:contextualSpacing/>
              <w:jc w:val="center"/>
            </w:pPr>
            <w:r w:rsidRPr="00F25CEA">
              <w:rPr>
                <w:b/>
                <w:bCs/>
              </w:rPr>
              <w:t>0.9690</w:t>
            </w:r>
          </w:p>
        </w:tc>
        <w:tc>
          <w:tcPr>
            <w:tcW w:w="1166" w:type="dxa"/>
            <w:noWrap/>
            <w:vAlign w:val="center"/>
          </w:tcPr>
          <w:p w14:paraId="57C9BB49" w14:textId="77777777" w:rsidR="00F25CEA" w:rsidRPr="00F25CEA" w:rsidRDefault="00F25CEA" w:rsidP="002E2EEE">
            <w:pPr>
              <w:widowControl/>
              <w:spacing w:line="276" w:lineRule="auto"/>
              <w:contextualSpacing/>
              <w:jc w:val="center"/>
            </w:pPr>
            <w:r w:rsidRPr="00F25CEA">
              <w:rPr>
                <w:b/>
                <w:bCs/>
              </w:rPr>
              <w:t>–0.000492</w:t>
            </w:r>
          </w:p>
        </w:tc>
        <w:tc>
          <w:tcPr>
            <w:tcW w:w="1953" w:type="dxa"/>
            <w:noWrap/>
            <w:vAlign w:val="center"/>
          </w:tcPr>
          <w:p w14:paraId="7122C485" w14:textId="77777777" w:rsidR="00F25CEA" w:rsidRPr="00F25CEA" w:rsidRDefault="00F25CEA" w:rsidP="002E2EEE">
            <w:pPr>
              <w:widowControl/>
              <w:spacing w:line="276" w:lineRule="auto"/>
              <w:contextualSpacing/>
              <w:jc w:val="center"/>
            </w:pPr>
            <w:r w:rsidRPr="00F25CEA">
              <w:rPr>
                <w:b/>
                <w:bCs/>
              </w:rPr>
              <w:t>0.9643</w:t>
            </w:r>
          </w:p>
        </w:tc>
        <w:tc>
          <w:tcPr>
            <w:tcW w:w="1842" w:type="dxa"/>
            <w:noWrap/>
            <w:vAlign w:val="center"/>
          </w:tcPr>
          <w:p w14:paraId="5DDA1CD3" w14:textId="77777777" w:rsidR="00F25CEA" w:rsidRPr="00F25CEA" w:rsidRDefault="00F25CEA" w:rsidP="002E2EEE">
            <w:pPr>
              <w:widowControl/>
              <w:spacing w:line="276" w:lineRule="auto"/>
              <w:contextualSpacing/>
              <w:jc w:val="center"/>
            </w:pPr>
            <w:r w:rsidRPr="00F25CEA">
              <w:rPr>
                <w:b/>
                <w:bCs/>
              </w:rPr>
              <w:t>0.9647</w:t>
            </w:r>
          </w:p>
        </w:tc>
        <w:tc>
          <w:tcPr>
            <w:tcW w:w="1276" w:type="dxa"/>
            <w:noWrap/>
            <w:vAlign w:val="center"/>
          </w:tcPr>
          <w:p w14:paraId="1390A3E5" w14:textId="77777777" w:rsidR="00F25CEA" w:rsidRPr="00F25CEA" w:rsidRDefault="00F25CEA" w:rsidP="002E2EEE">
            <w:pPr>
              <w:widowControl/>
              <w:spacing w:line="276" w:lineRule="auto"/>
              <w:contextualSpacing/>
              <w:jc w:val="center"/>
            </w:pPr>
            <w:r w:rsidRPr="00F25CEA">
              <w:rPr>
                <w:b/>
                <w:bCs/>
              </w:rPr>
              <w:t>–0.000431</w:t>
            </w:r>
          </w:p>
        </w:tc>
      </w:tr>
      <w:tr w:rsidR="00F25CEA" w:rsidRPr="00B64BAF" w14:paraId="7C751265" w14:textId="77777777" w:rsidTr="002E2EEE">
        <w:trPr>
          <w:trHeight w:val="193"/>
          <w:jc w:val="center"/>
        </w:trPr>
        <w:tc>
          <w:tcPr>
            <w:tcW w:w="754" w:type="dxa"/>
            <w:tcBorders>
              <w:bottom w:val="single" w:sz="8" w:space="0" w:color="auto"/>
            </w:tcBorders>
            <w:noWrap/>
            <w:vAlign w:val="center"/>
            <w:hideMark/>
          </w:tcPr>
          <w:p w14:paraId="39A56AAE" w14:textId="77777777" w:rsidR="00F25CEA" w:rsidRPr="00F25CEA" w:rsidRDefault="00F25CEA" w:rsidP="00F25CEA">
            <w:pPr>
              <w:widowControl/>
              <w:spacing w:line="276" w:lineRule="auto"/>
              <w:contextualSpacing/>
            </w:pPr>
            <w:r w:rsidRPr="00F25CEA">
              <w:rPr>
                <w:b/>
                <w:bCs/>
              </w:rPr>
              <w:t>Std</w:t>
            </w:r>
          </w:p>
        </w:tc>
        <w:tc>
          <w:tcPr>
            <w:tcW w:w="1657" w:type="dxa"/>
            <w:tcBorders>
              <w:bottom w:val="single" w:sz="8" w:space="0" w:color="auto"/>
            </w:tcBorders>
            <w:noWrap/>
            <w:vAlign w:val="center"/>
            <w:hideMark/>
          </w:tcPr>
          <w:p w14:paraId="19FA6071" w14:textId="77777777" w:rsidR="00F25CEA" w:rsidRPr="00F25CEA" w:rsidRDefault="00F25CEA" w:rsidP="002E2EEE">
            <w:pPr>
              <w:widowControl/>
              <w:spacing w:line="276" w:lineRule="auto"/>
              <w:contextualSpacing/>
              <w:jc w:val="center"/>
            </w:pPr>
            <w:r w:rsidRPr="00F25CEA">
              <w:t>—</w:t>
            </w:r>
          </w:p>
        </w:tc>
        <w:tc>
          <w:tcPr>
            <w:tcW w:w="1559" w:type="dxa"/>
            <w:tcBorders>
              <w:bottom w:val="single" w:sz="8" w:space="0" w:color="auto"/>
            </w:tcBorders>
            <w:noWrap/>
            <w:vAlign w:val="center"/>
            <w:hideMark/>
          </w:tcPr>
          <w:p w14:paraId="3552909D" w14:textId="77777777" w:rsidR="00F25CEA" w:rsidRPr="00F25CEA" w:rsidRDefault="00F25CEA" w:rsidP="002E2EEE">
            <w:pPr>
              <w:widowControl/>
              <w:spacing w:line="276" w:lineRule="auto"/>
              <w:contextualSpacing/>
              <w:jc w:val="center"/>
            </w:pPr>
            <w:r w:rsidRPr="00F25CEA">
              <w:t>—</w:t>
            </w:r>
          </w:p>
        </w:tc>
        <w:tc>
          <w:tcPr>
            <w:tcW w:w="1166" w:type="dxa"/>
            <w:tcBorders>
              <w:bottom w:val="single" w:sz="8" w:space="0" w:color="auto"/>
            </w:tcBorders>
            <w:noWrap/>
            <w:vAlign w:val="center"/>
            <w:hideMark/>
          </w:tcPr>
          <w:p w14:paraId="3B82AE67" w14:textId="77777777" w:rsidR="00F25CEA" w:rsidRPr="00F25CEA" w:rsidRDefault="00F25CEA" w:rsidP="002E2EEE">
            <w:pPr>
              <w:widowControl/>
              <w:spacing w:line="276" w:lineRule="auto"/>
              <w:contextualSpacing/>
              <w:jc w:val="center"/>
            </w:pPr>
            <w:r w:rsidRPr="00F25CEA">
              <w:rPr>
                <w:b/>
                <w:bCs/>
              </w:rPr>
              <w:t>0.000819</w:t>
            </w:r>
          </w:p>
        </w:tc>
        <w:tc>
          <w:tcPr>
            <w:tcW w:w="1953" w:type="dxa"/>
            <w:tcBorders>
              <w:bottom w:val="single" w:sz="8" w:space="0" w:color="auto"/>
            </w:tcBorders>
            <w:noWrap/>
            <w:vAlign w:val="center"/>
            <w:hideMark/>
          </w:tcPr>
          <w:p w14:paraId="1F697751" w14:textId="77777777" w:rsidR="00F25CEA" w:rsidRPr="00F25CEA" w:rsidRDefault="00F25CEA" w:rsidP="002E2EEE">
            <w:pPr>
              <w:widowControl/>
              <w:spacing w:line="276" w:lineRule="auto"/>
              <w:contextualSpacing/>
              <w:jc w:val="center"/>
            </w:pPr>
            <w:r w:rsidRPr="00F25CEA">
              <w:t>—</w:t>
            </w:r>
          </w:p>
        </w:tc>
        <w:tc>
          <w:tcPr>
            <w:tcW w:w="1842" w:type="dxa"/>
            <w:tcBorders>
              <w:bottom w:val="single" w:sz="8" w:space="0" w:color="auto"/>
            </w:tcBorders>
            <w:noWrap/>
            <w:vAlign w:val="center"/>
            <w:hideMark/>
          </w:tcPr>
          <w:p w14:paraId="2C13265C" w14:textId="77777777" w:rsidR="00F25CEA" w:rsidRPr="00F25CEA" w:rsidRDefault="00F25CEA" w:rsidP="002E2EEE">
            <w:pPr>
              <w:widowControl/>
              <w:spacing w:line="276" w:lineRule="auto"/>
              <w:contextualSpacing/>
              <w:jc w:val="center"/>
            </w:pPr>
            <w:r w:rsidRPr="00F25CEA">
              <w:t>—</w:t>
            </w:r>
          </w:p>
        </w:tc>
        <w:tc>
          <w:tcPr>
            <w:tcW w:w="1276" w:type="dxa"/>
            <w:tcBorders>
              <w:bottom w:val="single" w:sz="8" w:space="0" w:color="auto"/>
            </w:tcBorders>
            <w:noWrap/>
            <w:vAlign w:val="center"/>
            <w:hideMark/>
          </w:tcPr>
          <w:p w14:paraId="75B35948" w14:textId="77777777" w:rsidR="00F25CEA" w:rsidRPr="00F25CEA" w:rsidRDefault="00F25CEA" w:rsidP="002E2EEE">
            <w:pPr>
              <w:widowControl/>
              <w:spacing w:line="276" w:lineRule="auto"/>
              <w:contextualSpacing/>
              <w:jc w:val="center"/>
            </w:pPr>
            <w:r w:rsidRPr="00F25CEA">
              <w:rPr>
                <w:b/>
                <w:bCs/>
              </w:rPr>
              <w:t>0.000722</w:t>
            </w:r>
          </w:p>
        </w:tc>
      </w:tr>
      <w:bookmarkEnd w:id="0"/>
    </w:tbl>
    <w:p w14:paraId="52A490CB" w14:textId="77777777" w:rsidR="002E2EEE" w:rsidRDefault="002E2EEE" w:rsidP="00F25CEA">
      <w:pPr>
        <w:rPr>
          <w:rFonts w:eastAsiaTheme="minorEastAsia"/>
        </w:rPr>
      </w:pPr>
    </w:p>
    <w:p w14:paraId="20B6C2D4" w14:textId="0826E74A" w:rsidR="0049159A" w:rsidRDefault="0055427A" w:rsidP="00F25CEA">
      <w:pPr>
        <w:rPr>
          <w:rFonts w:eastAsiaTheme="minorEastAsia"/>
        </w:rPr>
      </w:pPr>
      <w:r w:rsidRPr="0055427A">
        <w:rPr>
          <w:rFonts w:eastAsiaTheme="minorEastAsia"/>
        </w:rPr>
        <w:t xml:space="preserve">The results show that the performance under the two settings remains nearly identical, with differences at the </w:t>
      </w:r>
      <m:oMath>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-3</m:t>
            </m:r>
          </m:sup>
        </m:sSup>
      </m:oMath>
      <w:r w:rsidRPr="0055427A">
        <w:rPr>
          <w:rFonts w:eastAsiaTheme="minorEastAsia"/>
        </w:rPr>
        <w:t xml:space="preserve"> level. Across the five folds, the mean </w:t>
      </w:r>
      <m:oMath>
        <m:r>
          <w:rPr>
            <w:rFonts w:ascii="Cambria Math" w:eastAsiaTheme="minorEastAsia" w:hAnsi="Cambria Math"/>
          </w:rPr>
          <m:t>∆</m:t>
        </m:r>
      </m:oMath>
      <w:r w:rsidRPr="0055427A">
        <w:rPr>
          <w:rFonts w:eastAsiaTheme="minorEastAsia"/>
        </w:rPr>
        <w:t xml:space="preserve">AUC is </w:t>
      </w:r>
      <m:oMath>
        <m:r>
          <w:rPr>
            <w:rFonts w:ascii="Cambria Math" w:eastAsiaTheme="minorEastAsia" w:hAnsi="Cambria Math"/>
          </w:rPr>
          <m:t>-</m:t>
        </m:r>
      </m:oMath>
      <w:r w:rsidRPr="0055427A">
        <w:rPr>
          <w:rFonts w:eastAsiaTheme="minorEastAsia"/>
        </w:rPr>
        <w:t xml:space="preserve">0.000492 and the mean </w:t>
      </w:r>
      <m:oMath>
        <m:r>
          <w:rPr>
            <w:rFonts w:ascii="Cambria Math" w:eastAsiaTheme="minorEastAsia" w:hAnsi="Cambria Math"/>
          </w:rPr>
          <m:t>∆</m:t>
        </m:r>
      </m:oMath>
      <w:r w:rsidRPr="0055427A">
        <w:rPr>
          <w:rFonts w:eastAsiaTheme="minorEastAsia"/>
        </w:rPr>
        <w:t xml:space="preserve">AUPRC is </w:t>
      </w:r>
      <m:oMath>
        <m:r>
          <w:rPr>
            <w:rFonts w:ascii="Cambria Math" w:eastAsiaTheme="minorEastAsia" w:hAnsi="Cambria Math"/>
          </w:rPr>
          <m:t>-</m:t>
        </m:r>
      </m:oMath>
      <w:r w:rsidRPr="0055427A">
        <w:rPr>
          <w:rFonts w:eastAsiaTheme="minorEastAsia"/>
        </w:rPr>
        <w:t xml:space="preserve">0.000431, with standard deviations of 0.000819 and 0.000722, respectively. At the fold level, </w:t>
      </w:r>
      <m:oMath>
        <m:r>
          <w:rPr>
            <w:rFonts w:ascii="Cambria Math" w:eastAsiaTheme="minorEastAsia" w:hAnsi="Cambria Math"/>
          </w:rPr>
          <m:t>∆</m:t>
        </m:r>
      </m:oMath>
      <w:r w:rsidRPr="0055427A">
        <w:rPr>
          <w:rFonts w:eastAsiaTheme="minorEastAsia"/>
        </w:rPr>
        <w:t xml:space="preserve">AUC ranges from </w:t>
      </w:r>
      <m:oMath>
        <m:r>
          <w:rPr>
            <w:rFonts w:ascii="Cambria Math" w:eastAsiaTheme="minorEastAsia" w:hAnsi="Cambria Math"/>
          </w:rPr>
          <m:t>-</m:t>
        </m:r>
      </m:oMath>
      <w:r w:rsidRPr="0055427A">
        <w:rPr>
          <w:rFonts w:eastAsiaTheme="minorEastAsia"/>
        </w:rPr>
        <w:t xml:space="preserve">0.001847 to </w:t>
      </w:r>
      <m:oMath>
        <m:r>
          <w:rPr>
            <w:rFonts w:ascii="Cambria Math" w:eastAsiaTheme="minorEastAsia" w:hAnsi="Cambria Math"/>
          </w:rPr>
          <m:t>+</m:t>
        </m:r>
      </m:oMath>
      <w:r w:rsidRPr="0055427A">
        <w:rPr>
          <w:rFonts w:eastAsiaTheme="minorEastAsia"/>
        </w:rPr>
        <w:t xml:space="preserve">0.000474, while </w:t>
      </w:r>
      <m:oMath>
        <m:r>
          <w:rPr>
            <w:rFonts w:ascii="Cambria Math" w:eastAsiaTheme="minorEastAsia" w:hAnsi="Cambria Math"/>
          </w:rPr>
          <m:t>∆</m:t>
        </m:r>
      </m:oMath>
      <w:r w:rsidRPr="0055427A">
        <w:rPr>
          <w:rFonts w:eastAsiaTheme="minorEastAsia"/>
        </w:rPr>
        <w:t xml:space="preserve">AUPRC ranges from </w:t>
      </w:r>
      <m:oMath>
        <m:r>
          <w:rPr>
            <w:rFonts w:ascii="Cambria Math" w:eastAsiaTheme="minorEastAsia" w:hAnsi="Cambria Math"/>
          </w:rPr>
          <m:t>-</m:t>
        </m:r>
      </m:oMath>
      <w:r w:rsidRPr="0055427A">
        <w:rPr>
          <w:rFonts w:eastAsiaTheme="minorEastAsia"/>
        </w:rPr>
        <w:t xml:space="preserve">0.001451 to 0.000744, indicating minimal fluctuations across folds. </w:t>
      </w:r>
      <w:r w:rsidR="00114C35" w:rsidRPr="00114C35">
        <w:rPr>
          <w:rFonts w:eastAsiaTheme="minorEastAsia"/>
        </w:rPr>
        <w:t>Furthermore, paired t-tests confirm that the observed differences are not statistically significant (p &gt; 0.2 for both AUC and AUPRC), thereby providing additional evidence that GIP kernel similarity does not induce performance inflation in our evaluation.</w:t>
      </w:r>
      <w:r w:rsidR="00114C35">
        <w:rPr>
          <w:rFonts w:eastAsiaTheme="minorEastAsia" w:hint="eastAsia"/>
        </w:rPr>
        <w:t xml:space="preserve"> </w:t>
      </w:r>
      <w:r w:rsidR="00114C35" w:rsidRPr="00114C35">
        <w:rPr>
          <w:rFonts w:eastAsiaTheme="minorEastAsia"/>
        </w:rPr>
        <w:t>These negligible differences can be consistently explained by underlying mechanisms</w:t>
      </w:r>
      <w:r w:rsidR="004201E9" w:rsidRPr="004201E9">
        <w:rPr>
          <w:rFonts w:eastAsiaTheme="minorEastAsia"/>
        </w:rPr>
        <w:t xml:space="preserve">. </w:t>
      </w:r>
      <w:r w:rsidR="00A06FAD" w:rsidRPr="00A06FAD">
        <w:rPr>
          <w:rFonts w:eastAsiaTheme="minorEastAsia"/>
        </w:rPr>
        <w:t xml:space="preserve">First, this study does not rely solely on features containing MDA information. We entirely discard miRNA functional similarity, which represents the primary leakage pathway, and we impose strict gating on GIP kernel similarity: it is used only when sequence or semantic similarity </w:t>
      </w:r>
      <w:r w:rsidR="00A06FAD" w:rsidRPr="00A06FAD">
        <w:rPr>
          <w:rFonts w:eastAsiaTheme="minorEastAsia"/>
        </w:rPr>
        <w:lastRenderedPageBreak/>
        <w:t>equals zero, and it is omitted whenever such information is available</w:t>
      </w:r>
      <w:r w:rsidR="004201E9" w:rsidRPr="004201E9">
        <w:rPr>
          <w:rFonts w:eastAsiaTheme="minorEastAsia"/>
        </w:rPr>
        <w:t>. As a result, GIP serves only as an auxiliary interpolation in a very small fraction of cases. Finally, we concatenate the GIP-patched similarity matrices with heterogeneous similarity features that contain no MDA information, thereby constructing a unified comprehensive similarity matrix that further dilutes any residual leakage signal.</w:t>
      </w:r>
    </w:p>
    <w:p w14:paraId="258867B8" w14:textId="1615A9C5" w:rsidR="00E1625C" w:rsidRPr="00F25CEA" w:rsidRDefault="00E1625C" w:rsidP="00F25CEA">
      <w:pPr>
        <w:rPr>
          <w:rFonts w:eastAsiaTheme="minorEastAsia"/>
        </w:rPr>
      </w:pPr>
      <w:r w:rsidRPr="00E1625C">
        <w:rPr>
          <w:rFonts w:eastAsiaTheme="minorEastAsia"/>
        </w:rPr>
        <w:t xml:space="preserve">Taken together, under the multiple safeguards adopted in this study, GIP similarity does not cause substantive inflation of cross-validation performance. The differences in AUC and AUPRC consistently remain at the </w:t>
      </w:r>
      <m:oMath>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-3</m:t>
            </m:r>
          </m:sup>
        </m:sSup>
      </m:oMath>
      <w:r w:rsidRPr="00E1625C">
        <w:rPr>
          <w:rFonts w:eastAsiaTheme="minorEastAsia"/>
        </w:rPr>
        <w:t xml:space="preserve"> level, reinforcing the robustness of our conclusions and the reliability of the evaluation procedure.</w:t>
      </w:r>
    </w:p>
    <w:sectPr w:rsidR="00E1625C" w:rsidRPr="00F25C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315A0" w14:textId="77777777" w:rsidR="002F78ED" w:rsidRDefault="002F78ED" w:rsidP="006919DF">
      <w:r>
        <w:separator/>
      </w:r>
    </w:p>
  </w:endnote>
  <w:endnote w:type="continuationSeparator" w:id="0">
    <w:p w14:paraId="5381E63B" w14:textId="77777777" w:rsidR="002F78ED" w:rsidRDefault="002F78ED" w:rsidP="00691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7051F" w14:textId="77777777" w:rsidR="002F78ED" w:rsidRDefault="002F78ED" w:rsidP="006919DF">
      <w:r>
        <w:separator/>
      </w:r>
    </w:p>
  </w:footnote>
  <w:footnote w:type="continuationSeparator" w:id="0">
    <w:p w14:paraId="015DCB42" w14:textId="77777777" w:rsidR="002F78ED" w:rsidRDefault="002F78ED" w:rsidP="006919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77321"/>
    <w:rsid w:val="000B69F9"/>
    <w:rsid w:val="00114C35"/>
    <w:rsid w:val="00171B2E"/>
    <w:rsid w:val="00193F58"/>
    <w:rsid w:val="002E2EEE"/>
    <w:rsid w:val="002F78ED"/>
    <w:rsid w:val="003F795B"/>
    <w:rsid w:val="004201E9"/>
    <w:rsid w:val="0049159A"/>
    <w:rsid w:val="0055427A"/>
    <w:rsid w:val="00577321"/>
    <w:rsid w:val="006144D8"/>
    <w:rsid w:val="00656A4A"/>
    <w:rsid w:val="006919DF"/>
    <w:rsid w:val="007013B6"/>
    <w:rsid w:val="008011CE"/>
    <w:rsid w:val="00814E42"/>
    <w:rsid w:val="008B5B5C"/>
    <w:rsid w:val="00941F83"/>
    <w:rsid w:val="0098623C"/>
    <w:rsid w:val="00A06FAD"/>
    <w:rsid w:val="00C347E4"/>
    <w:rsid w:val="00D572BC"/>
    <w:rsid w:val="00D71ABE"/>
    <w:rsid w:val="00E05A64"/>
    <w:rsid w:val="00E1625C"/>
    <w:rsid w:val="00E444FD"/>
    <w:rsid w:val="00E52EEC"/>
    <w:rsid w:val="00E772CD"/>
    <w:rsid w:val="00F25CEA"/>
    <w:rsid w:val="00F4009C"/>
    <w:rsid w:val="00F464AB"/>
    <w:rsid w:val="00F65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41861"/>
  <w15:chartTrackingRefBased/>
  <w15:docId w15:val="{F6BFB787-4DE2-422B-B0DA-744D5295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19DF"/>
    <w:pPr>
      <w:widowControl w:val="0"/>
      <w:jc w:val="both"/>
    </w:pPr>
    <w:rPr>
      <w:rFonts w:ascii="Times" w:eastAsia="Times" w:hAnsi="Times" w:cs="Times"/>
      <w:sz w:val="22"/>
    </w:rPr>
  </w:style>
  <w:style w:type="paragraph" w:styleId="1">
    <w:name w:val="heading 1"/>
    <w:basedOn w:val="a"/>
    <w:next w:val="a"/>
    <w:link w:val="10"/>
    <w:uiPriority w:val="9"/>
    <w:qFormat/>
    <w:rsid w:val="0057732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7732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7732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7732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77321"/>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577321"/>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7732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732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77321"/>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732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7732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7732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77321"/>
    <w:rPr>
      <w:rFonts w:cstheme="majorBidi"/>
      <w:color w:val="0F4761" w:themeColor="accent1" w:themeShade="BF"/>
      <w:sz w:val="28"/>
      <w:szCs w:val="28"/>
    </w:rPr>
  </w:style>
  <w:style w:type="character" w:customStyle="1" w:styleId="50">
    <w:name w:val="标题 5 字符"/>
    <w:basedOn w:val="a0"/>
    <w:link w:val="5"/>
    <w:uiPriority w:val="9"/>
    <w:semiHidden/>
    <w:rsid w:val="00577321"/>
    <w:rPr>
      <w:rFonts w:cstheme="majorBidi"/>
      <w:color w:val="0F4761" w:themeColor="accent1" w:themeShade="BF"/>
      <w:sz w:val="24"/>
      <w:szCs w:val="24"/>
    </w:rPr>
  </w:style>
  <w:style w:type="character" w:customStyle="1" w:styleId="60">
    <w:name w:val="标题 6 字符"/>
    <w:basedOn w:val="a0"/>
    <w:link w:val="6"/>
    <w:uiPriority w:val="9"/>
    <w:semiHidden/>
    <w:rsid w:val="00577321"/>
    <w:rPr>
      <w:rFonts w:cstheme="majorBidi"/>
      <w:b/>
      <w:bCs/>
      <w:color w:val="0F4761" w:themeColor="accent1" w:themeShade="BF"/>
    </w:rPr>
  </w:style>
  <w:style w:type="character" w:customStyle="1" w:styleId="70">
    <w:name w:val="标题 7 字符"/>
    <w:basedOn w:val="a0"/>
    <w:link w:val="7"/>
    <w:uiPriority w:val="9"/>
    <w:semiHidden/>
    <w:rsid w:val="00577321"/>
    <w:rPr>
      <w:rFonts w:cstheme="majorBidi"/>
      <w:b/>
      <w:bCs/>
      <w:color w:val="595959" w:themeColor="text1" w:themeTint="A6"/>
    </w:rPr>
  </w:style>
  <w:style w:type="character" w:customStyle="1" w:styleId="80">
    <w:name w:val="标题 8 字符"/>
    <w:basedOn w:val="a0"/>
    <w:link w:val="8"/>
    <w:uiPriority w:val="9"/>
    <w:semiHidden/>
    <w:rsid w:val="00577321"/>
    <w:rPr>
      <w:rFonts w:cstheme="majorBidi"/>
      <w:color w:val="595959" w:themeColor="text1" w:themeTint="A6"/>
    </w:rPr>
  </w:style>
  <w:style w:type="character" w:customStyle="1" w:styleId="90">
    <w:name w:val="标题 9 字符"/>
    <w:basedOn w:val="a0"/>
    <w:link w:val="9"/>
    <w:uiPriority w:val="9"/>
    <w:semiHidden/>
    <w:rsid w:val="00577321"/>
    <w:rPr>
      <w:rFonts w:eastAsiaTheme="majorEastAsia" w:cstheme="majorBidi"/>
      <w:color w:val="595959" w:themeColor="text1" w:themeTint="A6"/>
    </w:rPr>
  </w:style>
  <w:style w:type="paragraph" w:styleId="a3">
    <w:name w:val="Title"/>
    <w:basedOn w:val="a"/>
    <w:next w:val="a"/>
    <w:link w:val="a4"/>
    <w:uiPriority w:val="10"/>
    <w:qFormat/>
    <w:rsid w:val="0057732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73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732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73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7321"/>
    <w:pPr>
      <w:spacing w:before="160" w:after="160"/>
      <w:jc w:val="center"/>
    </w:pPr>
    <w:rPr>
      <w:i/>
      <w:iCs/>
      <w:color w:val="404040" w:themeColor="text1" w:themeTint="BF"/>
    </w:rPr>
  </w:style>
  <w:style w:type="character" w:customStyle="1" w:styleId="a8">
    <w:name w:val="引用 字符"/>
    <w:basedOn w:val="a0"/>
    <w:link w:val="a7"/>
    <w:uiPriority w:val="29"/>
    <w:rsid w:val="00577321"/>
    <w:rPr>
      <w:i/>
      <w:iCs/>
      <w:color w:val="404040" w:themeColor="text1" w:themeTint="BF"/>
    </w:rPr>
  </w:style>
  <w:style w:type="paragraph" w:styleId="a9">
    <w:name w:val="List Paragraph"/>
    <w:basedOn w:val="a"/>
    <w:uiPriority w:val="34"/>
    <w:qFormat/>
    <w:rsid w:val="00577321"/>
    <w:pPr>
      <w:ind w:left="720"/>
      <w:contextualSpacing/>
    </w:pPr>
  </w:style>
  <w:style w:type="character" w:styleId="aa">
    <w:name w:val="Intense Emphasis"/>
    <w:basedOn w:val="a0"/>
    <w:uiPriority w:val="21"/>
    <w:qFormat/>
    <w:rsid w:val="00577321"/>
    <w:rPr>
      <w:i/>
      <w:iCs/>
      <w:color w:val="0F4761" w:themeColor="accent1" w:themeShade="BF"/>
    </w:rPr>
  </w:style>
  <w:style w:type="paragraph" w:styleId="ab">
    <w:name w:val="Intense Quote"/>
    <w:basedOn w:val="a"/>
    <w:next w:val="a"/>
    <w:link w:val="ac"/>
    <w:uiPriority w:val="30"/>
    <w:qFormat/>
    <w:rsid w:val="005773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77321"/>
    <w:rPr>
      <w:i/>
      <w:iCs/>
      <w:color w:val="0F4761" w:themeColor="accent1" w:themeShade="BF"/>
    </w:rPr>
  </w:style>
  <w:style w:type="character" w:styleId="ad">
    <w:name w:val="Intense Reference"/>
    <w:basedOn w:val="a0"/>
    <w:uiPriority w:val="32"/>
    <w:qFormat/>
    <w:rsid w:val="00577321"/>
    <w:rPr>
      <w:b/>
      <w:bCs/>
      <w:smallCaps/>
      <w:color w:val="0F4761" w:themeColor="accent1" w:themeShade="BF"/>
      <w:spacing w:val="5"/>
    </w:rPr>
  </w:style>
  <w:style w:type="paragraph" w:styleId="ae">
    <w:name w:val="header"/>
    <w:basedOn w:val="a"/>
    <w:link w:val="af"/>
    <w:uiPriority w:val="99"/>
    <w:unhideWhenUsed/>
    <w:rsid w:val="006919DF"/>
    <w:pPr>
      <w:tabs>
        <w:tab w:val="center" w:pos="4153"/>
        <w:tab w:val="right" w:pos="8306"/>
      </w:tabs>
      <w:snapToGrid w:val="0"/>
      <w:jc w:val="center"/>
    </w:pPr>
    <w:rPr>
      <w:sz w:val="18"/>
      <w:szCs w:val="18"/>
    </w:rPr>
  </w:style>
  <w:style w:type="character" w:customStyle="1" w:styleId="af">
    <w:name w:val="页眉 字符"/>
    <w:basedOn w:val="a0"/>
    <w:link w:val="ae"/>
    <w:uiPriority w:val="99"/>
    <w:rsid w:val="006919DF"/>
    <w:rPr>
      <w:sz w:val="18"/>
      <w:szCs w:val="18"/>
    </w:rPr>
  </w:style>
  <w:style w:type="paragraph" w:styleId="af0">
    <w:name w:val="footer"/>
    <w:basedOn w:val="a"/>
    <w:link w:val="af1"/>
    <w:uiPriority w:val="99"/>
    <w:unhideWhenUsed/>
    <w:rsid w:val="006919DF"/>
    <w:pPr>
      <w:tabs>
        <w:tab w:val="center" w:pos="4153"/>
        <w:tab w:val="right" w:pos="8306"/>
      </w:tabs>
      <w:snapToGrid w:val="0"/>
      <w:jc w:val="left"/>
    </w:pPr>
    <w:rPr>
      <w:sz w:val="18"/>
      <w:szCs w:val="18"/>
    </w:rPr>
  </w:style>
  <w:style w:type="character" w:customStyle="1" w:styleId="af1">
    <w:name w:val="页脚 字符"/>
    <w:basedOn w:val="a0"/>
    <w:link w:val="af0"/>
    <w:uiPriority w:val="99"/>
    <w:rsid w:val="006919DF"/>
    <w:rPr>
      <w:sz w:val="18"/>
      <w:szCs w:val="18"/>
    </w:rPr>
  </w:style>
  <w:style w:type="character" w:styleId="af2">
    <w:name w:val="Strong"/>
    <w:basedOn w:val="a0"/>
    <w:uiPriority w:val="22"/>
    <w:qFormat/>
    <w:rsid w:val="00F25CEA"/>
    <w:rPr>
      <w:b/>
      <w:bCs/>
    </w:rPr>
  </w:style>
  <w:style w:type="character" w:styleId="af3">
    <w:name w:val="Placeholder Text"/>
    <w:basedOn w:val="a0"/>
    <w:uiPriority w:val="99"/>
    <w:semiHidden/>
    <w:rsid w:val="005542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441</Words>
  <Characters>2520</Characters>
  <Application>Microsoft Office Word</Application>
  <DocSecurity>0</DocSecurity>
  <Lines>21</Lines>
  <Paragraphs>5</Paragraphs>
  <ScaleCrop>false</ScaleCrop>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 lian</dc:creator>
  <cp:keywords/>
  <dc:description/>
  <cp:lastModifiedBy>wen lian</cp:lastModifiedBy>
  <cp:revision>12</cp:revision>
  <dcterms:created xsi:type="dcterms:W3CDTF">2025-09-17T10:24:00Z</dcterms:created>
  <dcterms:modified xsi:type="dcterms:W3CDTF">2025-09-17T11:49:00Z</dcterms:modified>
</cp:coreProperties>
</file>