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460"/>
        <w:gridCol w:w="2513"/>
        <w:gridCol w:w="2619"/>
        <w:gridCol w:w="1202"/>
      </w:tblGrid>
      <w:tr w:rsidR="00935862" w14:paraId="2DA99397" w14:textId="77777777">
        <w:trPr>
          <w:trHeight w:val="451"/>
        </w:trPr>
        <w:tc>
          <w:tcPr>
            <w:tcW w:w="893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4D23B3" w14:textId="77777777" w:rsidR="00935862" w:rsidRDefault="00000000">
            <w:pPr>
              <w:jc w:val="left"/>
              <w:rPr>
                <w:rStyle w:val="Emphasis"/>
                <w:rFonts w:ascii="Times New Roman" w:hAnsi="Times New Roman"/>
                <w:iCs/>
                <w:sz w:val="24"/>
              </w:rPr>
            </w:pPr>
            <w:r>
              <w:rPr>
                <w:rStyle w:val="Emphasis"/>
                <w:rFonts w:ascii="Times New Roman" w:hAnsi="Times New Roman" w:hint="eastAsia"/>
                <w:b/>
                <w:bCs/>
                <w:i w:val="0"/>
                <w:sz w:val="24"/>
              </w:rPr>
              <w:t>Supplementary Table 3</w:t>
            </w:r>
            <w:r>
              <w:rPr>
                <w:rStyle w:val="Emphasis"/>
                <w:rFonts w:ascii="Times New Roman" w:hAnsi="Times New Roman" w:hint="eastAsia"/>
                <w:b/>
                <w:bCs/>
                <w:iCs/>
                <w:sz w:val="24"/>
              </w:rPr>
              <w:t xml:space="preserve"> </w:t>
            </w:r>
            <w:r>
              <w:rPr>
                <w:rStyle w:val="Emphasis"/>
                <w:rFonts w:ascii="Times New Roman" w:hAnsi="Times New Roman"/>
                <w:i w:val="0"/>
                <w:sz w:val="24"/>
              </w:rPr>
              <w:t>Clinical  data of patients with malignant and benign effusion</w:t>
            </w:r>
          </w:p>
        </w:tc>
      </w:tr>
      <w:tr w:rsidR="00935862" w14:paraId="5BE74AFB" w14:textId="77777777">
        <w:trPr>
          <w:trHeight w:val="451"/>
        </w:trPr>
        <w:tc>
          <w:tcPr>
            <w:tcW w:w="259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2E4372B" w14:textId="77777777" w:rsidR="00935862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Characteristics</w:t>
            </w:r>
          </w:p>
        </w:tc>
        <w:tc>
          <w:tcPr>
            <w:tcW w:w="25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6E8859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Malignant effusion (N=26)</w:t>
            </w:r>
          </w:p>
        </w:tc>
        <w:tc>
          <w:tcPr>
            <w:tcW w:w="26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9E9C7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Benign effusion  (N=4</w:t>
            </w:r>
            <w:r>
              <w:rPr>
                <w:rStyle w:val="Emphasis"/>
                <w:rFonts w:ascii="Times New Roman" w:hAnsi="Times New Roman" w:hint="eastAsia"/>
                <w:i w:val="0"/>
                <w:sz w:val="24"/>
              </w:rPr>
              <w:t>5</w:t>
            </w:r>
            <w:r>
              <w:rPr>
                <w:rStyle w:val="Emphasis"/>
                <w:rFonts w:ascii="Times New Roman" w:hAnsi="Times New Roman"/>
                <w:i w:val="0"/>
                <w:sz w:val="24"/>
              </w:rPr>
              <w:t>)</w:t>
            </w:r>
          </w:p>
        </w:tc>
        <w:tc>
          <w:tcPr>
            <w:tcW w:w="1202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BE6EDB8" w14:textId="77777777" w:rsidR="0093586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Emphasis"/>
                <w:rFonts w:ascii="Times New Roman" w:hAnsi="Times New Roman"/>
                <w:iCs/>
                <w:sz w:val="24"/>
              </w:rPr>
              <w:t>P</w:t>
            </w:r>
            <w:r>
              <w:rPr>
                <w:rStyle w:val="Emphasis"/>
                <w:rFonts w:ascii="Times New Roman" w:hAnsi="Times New Roman" w:hint="eastAsia"/>
                <w:iCs/>
                <w:sz w:val="24"/>
              </w:rPr>
              <w:t xml:space="preserve"> value</w:t>
            </w:r>
          </w:p>
        </w:tc>
      </w:tr>
      <w:tr w:rsidR="00935862" w14:paraId="323C0122" w14:textId="77777777">
        <w:trPr>
          <w:trHeight w:val="2888"/>
        </w:trPr>
        <w:tc>
          <w:tcPr>
            <w:tcW w:w="2596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3C92B076" w14:textId="77777777" w:rsidR="00935862" w:rsidRDefault="00000000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Excluded cases</w:t>
            </w:r>
          </w:p>
        </w:tc>
        <w:tc>
          <w:tcPr>
            <w:tcW w:w="2513" w:type="dxa"/>
            <w:tcBorders>
              <w:top w:val="single" w:sz="12" w:space="0" w:color="auto"/>
              <w:bottom w:val="nil"/>
            </w:tcBorders>
            <w:vAlign w:val="center"/>
          </w:tcPr>
          <w:p w14:paraId="64713F01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1 case with cerebrospinal fluid sample; 1 case with venous thrombosis</w:t>
            </w:r>
          </w:p>
        </w:tc>
        <w:tc>
          <w:tcPr>
            <w:tcW w:w="2619" w:type="dxa"/>
            <w:tcBorders>
              <w:top w:val="single" w:sz="12" w:space="0" w:color="auto"/>
              <w:bottom w:val="nil"/>
            </w:tcBorders>
            <w:vAlign w:val="center"/>
          </w:tcPr>
          <w:p w14:paraId="01EA9B06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5 case with cerebrospinal fluid sample; 2 case with venous thrombosis;1 case with hemorrhagic event;1case diagnosed with peritoneal metastasis by laparotomy</w:t>
            </w:r>
          </w:p>
        </w:tc>
        <w:tc>
          <w:tcPr>
            <w:tcW w:w="1202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486B54FB" w14:textId="77777777" w:rsidR="00935862" w:rsidRDefault="00935862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CF3B17D" w14:textId="77777777" w:rsidR="00935862" w:rsidRDefault="00935862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FDA9AA8" w14:textId="77777777" w:rsidR="00935862" w:rsidRDefault="00935862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F82AFD4" w14:textId="77777777" w:rsidR="00935862" w:rsidRDefault="00000000">
            <w:pPr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</w:p>
        </w:tc>
      </w:tr>
      <w:tr w:rsidR="00935862" w14:paraId="1C464A07" w14:textId="77777777">
        <w:trPr>
          <w:trHeight w:val="494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6921E1A" w14:textId="77777777" w:rsidR="00935862" w:rsidRDefault="00000000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Included cases</w:t>
            </w:r>
          </w:p>
        </w:tc>
        <w:tc>
          <w:tcPr>
            <w:tcW w:w="2513" w:type="dxa"/>
            <w:tcBorders>
              <w:top w:val="nil"/>
              <w:bottom w:val="nil"/>
            </w:tcBorders>
            <w:vAlign w:val="center"/>
          </w:tcPr>
          <w:p w14:paraId="721C5640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N=24</w:t>
            </w:r>
          </w:p>
        </w:tc>
        <w:tc>
          <w:tcPr>
            <w:tcW w:w="2619" w:type="dxa"/>
            <w:tcBorders>
              <w:top w:val="nil"/>
              <w:bottom w:val="nil"/>
            </w:tcBorders>
            <w:vAlign w:val="center"/>
          </w:tcPr>
          <w:p w14:paraId="5A9BE67A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N=36</w:t>
            </w:r>
          </w:p>
        </w:tc>
        <w:tc>
          <w:tcPr>
            <w:tcW w:w="1202" w:type="dxa"/>
            <w:tcBorders>
              <w:top w:val="nil"/>
              <w:bottom w:val="nil"/>
              <w:right w:val="nil"/>
            </w:tcBorders>
            <w:vAlign w:val="center"/>
          </w:tcPr>
          <w:p w14:paraId="0CF4A285" w14:textId="77777777" w:rsidR="00935862" w:rsidRDefault="0093586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35862" w14:paraId="14E3591D" w14:textId="77777777">
        <w:trPr>
          <w:trHeight w:val="724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B99B8FD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Age</w:t>
            </w:r>
            <w:r>
              <w:rPr>
                <w:rStyle w:val="Emphasis"/>
                <w:rFonts w:ascii="Times New Roman" w:hAnsi="Times New Roman"/>
                <w:i w:val="0"/>
                <w:sz w:val="24"/>
              </w:rPr>
              <w:t>（</w:t>
            </w:r>
            <w:r>
              <w:rPr>
                <w:rStyle w:val="Emphasis"/>
                <w:rFonts w:ascii="Times New Roman" w:hAnsi="Times New Roman"/>
                <w:i w:val="0"/>
                <w:sz w:val="24"/>
              </w:rPr>
              <w:t>medium ± SD</w:t>
            </w:r>
            <w:r>
              <w:rPr>
                <w:rStyle w:val="Emphasis"/>
                <w:rFonts w:ascii="Times New Roman" w:hAnsi="Times New Roman"/>
                <w:i w:val="0"/>
                <w:sz w:val="24"/>
              </w:rPr>
              <w:t>）</w:t>
            </w:r>
          </w:p>
        </w:tc>
        <w:tc>
          <w:tcPr>
            <w:tcW w:w="2513" w:type="dxa"/>
            <w:tcBorders>
              <w:top w:val="nil"/>
              <w:bottom w:val="nil"/>
            </w:tcBorders>
            <w:vAlign w:val="center"/>
          </w:tcPr>
          <w:p w14:paraId="2241AD0D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66.75 ± 11.33</w:t>
            </w:r>
          </w:p>
        </w:tc>
        <w:tc>
          <w:tcPr>
            <w:tcW w:w="2619" w:type="dxa"/>
            <w:tcBorders>
              <w:top w:val="nil"/>
              <w:bottom w:val="nil"/>
            </w:tcBorders>
            <w:vAlign w:val="center"/>
          </w:tcPr>
          <w:p w14:paraId="1B095EEC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68.78 ± 16.26</w:t>
            </w:r>
          </w:p>
        </w:tc>
        <w:tc>
          <w:tcPr>
            <w:tcW w:w="1202" w:type="dxa"/>
            <w:tcBorders>
              <w:top w:val="nil"/>
              <w:bottom w:val="nil"/>
              <w:right w:val="nil"/>
            </w:tcBorders>
            <w:vAlign w:val="center"/>
          </w:tcPr>
          <w:p w14:paraId="058684AD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0.5978</w:t>
            </w:r>
          </w:p>
        </w:tc>
      </w:tr>
      <w:tr w:rsidR="00935862" w14:paraId="747D6BBE" w14:textId="77777777">
        <w:tc>
          <w:tcPr>
            <w:tcW w:w="113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283FB4C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Gender</w:t>
            </w:r>
          </w:p>
        </w:tc>
        <w:tc>
          <w:tcPr>
            <w:tcW w:w="1460" w:type="dxa"/>
            <w:tcBorders>
              <w:top w:val="nil"/>
              <w:bottom w:val="nil"/>
            </w:tcBorders>
            <w:vAlign w:val="center"/>
          </w:tcPr>
          <w:p w14:paraId="73C268E5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Male</w:t>
            </w:r>
          </w:p>
        </w:tc>
        <w:tc>
          <w:tcPr>
            <w:tcW w:w="2513" w:type="dxa"/>
            <w:tcBorders>
              <w:top w:val="nil"/>
              <w:bottom w:val="nil"/>
            </w:tcBorders>
            <w:vAlign w:val="center"/>
          </w:tcPr>
          <w:p w14:paraId="21AF6DE9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7 (29.17%)</w:t>
            </w:r>
          </w:p>
        </w:tc>
        <w:tc>
          <w:tcPr>
            <w:tcW w:w="2619" w:type="dxa"/>
            <w:tcBorders>
              <w:top w:val="nil"/>
              <w:bottom w:val="nil"/>
            </w:tcBorders>
            <w:vAlign w:val="center"/>
          </w:tcPr>
          <w:p w14:paraId="4DA84955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23 (63.89%)</w:t>
            </w:r>
          </w:p>
        </w:tc>
        <w:tc>
          <w:tcPr>
            <w:tcW w:w="1202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3B4176AA" w14:textId="77777777" w:rsidR="00935862" w:rsidRDefault="00935862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  <w:p w14:paraId="131F3117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0.0169</w:t>
            </w:r>
          </w:p>
        </w:tc>
      </w:tr>
      <w:tr w:rsidR="00935862" w14:paraId="767D59D0" w14:textId="77777777">
        <w:trPr>
          <w:trHeight w:val="842"/>
        </w:trPr>
        <w:tc>
          <w:tcPr>
            <w:tcW w:w="1136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E2E099C" w14:textId="77777777" w:rsidR="00935862" w:rsidRDefault="00935862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vAlign w:val="center"/>
          </w:tcPr>
          <w:p w14:paraId="75A9A244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Female</w:t>
            </w:r>
          </w:p>
        </w:tc>
        <w:tc>
          <w:tcPr>
            <w:tcW w:w="2513" w:type="dxa"/>
            <w:tcBorders>
              <w:top w:val="nil"/>
              <w:bottom w:val="nil"/>
            </w:tcBorders>
            <w:vAlign w:val="center"/>
          </w:tcPr>
          <w:p w14:paraId="2577EF35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17 (70.83%)</w:t>
            </w:r>
          </w:p>
        </w:tc>
        <w:tc>
          <w:tcPr>
            <w:tcW w:w="2619" w:type="dxa"/>
            <w:tcBorders>
              <w:top w:val="nil"/>
              <w:bottom w:val="nil"/>
            </w:tcBorders>
            <w:vAlign w:val="center"/>
          </w:tcPr>
          <w:p w14:paraId="2D7CCF0A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13 (36.11%)</w:t>
            </w:r>
          </w:p>
        </w:tc>
        <w:tc>
          <w:tcPr>
            <w:tcW w:w="120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3F2194F3" w14:textId="77777777" w:rsidR="00935862" w:rsidRDefault="00935862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</w:tr>
      <w:tr w:rsidR="00935862" w14:paraId="235AEDE3" w14:textId="77777777">
        <w:trPr>
          <w:trHeight w:val="164"/>
        </w:trPr>
        <w:tc>
          <w:tcPr>
            <w:tcW w:w="2596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532F6494" w14:textId="77777777" w:rsidR="00935862" w:rsidRDefault="00935862">
            <w:pPr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  <w:p w14:paraId="4AB63731" w14:textId="77777777" w:rsidR="00935862" w:rsidRDefault="00935862">
            <w:pPr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  <w:p w14:paraId="4F34C4FF" w14:textId="77777777" w:rsidR="00935862" w:rsidRDefault="00935862">
            <w:pPr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  <w:p w14:paraId="3F718A65" w14:textId="77777777" w:rsidR="00935862" w:rsidRDefault="00935862">
            <w:pPr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  <w:p w14:paraId="4C13F33C" w14:textId="77777777" w:rsidR="00935862" w:rsidRDefault="00935862">
            <w:pPr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  <w:p w14:paraId="5E0EA27D" w14:textId="77777777" w:rsidR="00935862" w:rsidRDefault="00000000">
            <w:pPr>
              <w:ind w:firstLineChars="100" w:firstLine="240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 w:hint="eastAsia"/>
                <w:i w:val="0"/>
                <w:sz w:val="24"/>
              </w:rPr>
              <w:t>P</w:t>
            </w:r>
            <w:r>
              <w:rPr>
                <w:rStyle w:val="Emphasis"/>
                <w:rFonts w:ascii="Times New Roman" w:hAnsi="Times New Roman"/>
                <w:i w:val="0"/>
                <w:sz w:val="24"/>
              </w:rPr>
              <w:t>rimary diseases</w:t>
            </w:r>
          </w:p>
        </w:tc>
        <w:tc>
          <w:tcPr>
            <w:tcW w:w="2513" w:type="dxa"/>
            <w:tcBorders>
              <w:top w:val="nil"/>
              <w:bottom w:val="nil"/>
            </w:tcBorders>
            <w:vAlign w:val="center"/>
          </w:tcPr>
          <w:p w14:paraId="48B51BFC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 xml:space="preserve">Lung cancer </w:t>
            </w:r>
          </w:p>
          <w:p w14:paraId="2A8C2864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(12, 50%)</w:t>
            </w:r>
          </w:p>
        </w:tc>
        <w:tc>
          <w:tcPr>
            <w:tcW w:w="2619" w:type="dxa"/>
            <w:tcBorders>
              <w:top w:val="nil"/>
              <w:bottom w:val="nil"/>
            </w:tcBorders>
            <w:vAlign w:val="center"/>
          </w:tcPr>
          <w:p w14:paraId="576B0B31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Infectious disease</w:t>
            </w:r>
          </w:p>
          <w:p w14:paraId="45D2EA5F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 xml:space="preserve"> (13, 36.11%,)</w:t>
            </w:r>
          </w:p>
        </w:tc>
        <w:tc>
          <w:tcPr>
            <w:tcW w:w="1202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37FB79B6" w14:textId="77777777" w:rsidR="00935862" w:rsidRDefault="00935862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  <w:p w14:paraId="7BE4BBE8" w14:textId="77777777" w:rsidR="00935862" w:rsidRDefault="00935862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  <w:p w14:paraId="0FED6230" w14:textId="77777777" w:rsidR="00935862" w:rsidRDefault="00935862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  <w:p w14:paraId="399BF7E1" w14:textId="77777777" w:rsidR="00935862" w:rsidRDefault="00000000">
            <w:pPr>
              <w:ind w:firstLineChars="100" w:firstLine="240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</w:p>
        </w:tc>
      </w:tr>
      <w:tr w:rsidR="00935862" w14:paraId="460F265E" w14:textId="77777777">
        <w:tc>
          <w:tcPr>
            <w:tcW w:w="2596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1328C649" w14:textId="77777777" w:rsidR="00935862" w:rsidRDefault="00935862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  <w:vAlign w:val="center"/>
          </w:tcPr>
          <w:p w14:paraId="4E51FD79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Gastric cancer</w:t>
            </w:r>
          </w:p>
          <w:p w14:paraId="4B1502BC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 xml:space="preserve"> (5, 20.83%)</w:t>
            </w:r>
          </w:p>
        </w:tc>
        <w:tc>
          <w:tcPr>
            <w:tcW w:w="2619" w:type="dxa"/>
            <w:tcBorders>
              <w:top w:val="nil"/>
              <w:bottom w:val="nil"/>
            </w:tcBorders>
            <w:vAlign w:val="center"/>
          </w:tcPr>
          <w:p w14:paraId="6881548B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 xml:space="preserve">Tuberculous serositis </w:t>
            </w:r>
          </w:p>
          <w:p w14:paraId="404D534F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(7, 19.44%)</w:t>
            </w:r>
          </w:p>
        </w:tc>
        <w:tc>
          <w:tcPr>
            <w:tcW w:w="120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2B4617C" w14:textId="77777777" w:rsidR="00935862" w:rsidRDefault="00935862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</w:tr>
      <w:tr w:rsidR="00935862" w14:paraId="0113F4C2" w14:textId="77777777">
        <w:tc>
          <w:tcPr>
            <w:tcW w:w="2596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35375998" w14:textId="77777777" w:rsidR="00935862" w:rsidRDefault="00935862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  <w:vAlign w:val="center"/>
          </w:tcPr>
          <w:p w14:paraId="0E7C1946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 xml:space="preserve">Ovarian cancer </w:t>
            </w:r>
          </w:p>
          <w:p w14:paraId="26F2E161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(4, 16.67%)</w:t>
            </w:r>
          </w:p>
        </w:tc>
        <w:tc>
          <w:tcPr>
            <w:tcW w:w="2619" w:type="dxa"/>
            <w:tcBorders>
              <w:top w:val="nil"/>
              <w:bottom w:val="nil"/>
            </w:tcBorders>
            <w:vAlign w:val="center"/>
          </w:tcPr>
          <w:p w14:paraId="5FB06D59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Cirrhosis</w:t>
            </w:r>
          </w:p>
          <w:p w14:paraId="1768DE2B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 xml:space="preserve"> (5, 13.89%)</w:t>
            </w:r>
          </w:p>
        </w:tc>
        <w:tc>
          <w:tcPr>
            <w:tcW w:w="120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CBF64FD" w14:textId="77777777" w:rsidR="00935862" w:rsidRDefault="00935862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</w:tr>
      <w:tr w:rsidR="00935862" w14:paraId="13B74083" w14:textId="77777777">
        <w:tc>
          <w:tcPr>
            <w:tcW w:w="2596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111CC768" w14:textId="77777777" w:rsidR="00935862" w:rsidRDefault="00935862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  <w:vAlign w:val="center"/>
          </w:tcPr>
          <w:p w14:paraId="48DCA6B1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 xml:space="preserve">Breast cancer </w:t>
            </w:r>
          </w:p>
          <w:p w14:paraId="4B1C2A99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(1, 4.17%)</w:t>
            </w:r>
          </w:p>
        </w:tc>
        <w:tc>
          <w:tcPr>
            <w:tcW w:w="2619" w:type="dxa"/>
            <w:tcBorders>
              <w:top w:val="nil"/>
              <w:bottom w:val="nil"/>
            </w:tcBorders>
            <w:vAlign w:val="center"/>
          </w:tcPr>
          <w:p w14:paraId="25EED3D8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 xml:space="preserve">Hypoproteinemia </w:t>
            </w:r>
          </w:p>
          <w:p w14:paraId="2D2F18D3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(4, 11.11%)</w:t>
            </w:r>
          </w:p>
        </w:tc>
        <w:tc>
          <w:tcPr>
            <w:tcW w:w="120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4ADF684" w14:textId="77777777" w:rsidR="00935862" w:rsidRDefault="00935862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</w:tr>
      <w:tr w:rsidR="00935862" w14:paraId="7CB258A6" w14:textId="77777777">
        <w:tc>
          <w:tcPr>
            <w:tcW w:w="2596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26BFCDEB" w14:textId="77777777" w:rsidR="00935862" w:rsidRDefault="00935862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  <w:vAlign w:val="center"/>
          </w:tcPr>
          <w:p w14:paraId="0FDF77AC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 xml:space="preserve">Pancreatic cancer </w:t>
            </w:r>
          </w:p>
          <w:p w14:paraId="3B60CEF9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(1, 4.17%)</w:t>
            </w:r>
          </w:p>
        </w:tc>
        <w:tc>
          <w:tcPr>
            <w:tcW w:w="2619" w:type="dxa"/>
            <w:tcBorders>
              <w:top w:val="nil"/>
              <w:bottom w:val="nil"/>
            </w:tcBorders>
            <w:vAlign w:val="center"/>
          </w:tcPr>
          <w:p w14:paraId="6139223E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Heart failure</w:t>
            </w:r>
          </w:p>
          <w:p w14:paraId="1F77EA82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 xml:space="preserve"> (2, 5.56%)</w:t>
            </w:r>
          </w:p>
        </w:tc>
        <w:tc>
          <w:tcPr>
            <w:tcW w:w="120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5D17978" w14:textId="77777777" w:rsidR="00935862" w:rsidRDefault="00935862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</w:tr>
      <w:tr w:rsidR="00935862" w14:paraId="02C9CFB2" w14:textId="77777777">
        <w:tc>
          <w:tcPr>
            <w:tcW w:w="2596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2C222E34" w14:textId="77777777" w:rsidR="00935862" w:rsidRDefault="00935862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  <w:vAlign w:val="center"/>
          </w:tcPr>
          <w:p w14:paraId="1BB7955B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Malignant neoplasm of unknown primary</w:t>
            </w:r>
          </w:p>
          <w:p w14:paraId="39FCE216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 xml:space="preserve"> (1, 4.17%)</w:t>
            </w:r>
          </w:p>
        </w:tc>
        <w:tc>
          <w:tcPr>
            <w:tcW w:w="2619" w:type="dxa"/>
            <w:tcBorders>
              <w:top w:val="nil"/>
              <w:bottom w:val="nil"/>
            </w:tcBorders>
            <w:vAlign w:val="center"/>
          </w:tcPr>
          <w:p w14:paraId="2456E6BF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Spontaneous peritonitis</w:t>
            </w:r>
          </w:p>
          <w:p w14:paraId="5F728D60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(1, 2.78%)</w:t>
            </w:r>
          </w:p>
        </w:tc>
        <w:tc>
          <w:tcPr>
            <w:tcW w:w="120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5FD980B" w14:textId="77777777" w:rsidR="00935862" w:rsidRDefault="00935862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</w:tr>
      <w:tr w:rsidR="00935862" w14:paraId="1E747BB6" w14:textId="77777777">
        <w:trPr>
          <w:trHeight w:val="684"/>
        </w:trPr>
        <w:tc>
          <w:tcPr>
            <w:tcW w:w="2596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45EB0D12" w14:textId="77777777" w:rsidR="00935862" w:rsidRDefault="00935862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  <w:vAlign w:val="center"/>
          </w:tcPr>
          <w:p w14:paraId="7F456C08" w14:textId="77777777" w:rsidR="00935862" w:rsidRDefault="00000000">
            <w:pPr>
              <w:ind w:firstLineChars="500" w:firstLine="1200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</w:p>
        </w:tc>
        <w:tc>
          <w:tcPr>
            <w:tcW w:w="2619" w:type="dxa"/>
            <w:tcBorders>
              <w:top w:val="nil"/>
              <w:bottom w:val="nil"/>
            </w:tcBorders>
            <w:vAlign w:val="center"/>
          </w:tcPr>
          <w:p w14:paraId="3F284953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Unknown causes</w:t>
            </w:r>
          </w:p>
          <w:p w14:paraId="2379D2D9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 xml:space="preserve"> (4, 11.11%)</w:t>
            </w:r>
          </w:p>
        </w:tc>
        <w:tc>
          <w:tcPr>
            <w:tcW w:w="120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67E9EE28" w14:textId="77777777" w:rsidR="00935862" w:rsidRDefault="00935862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</w:tc>
      </w:tr>
      <w:tr w:rsidR="00935862" w14:paraId="46B4F4BE" w14:textId="77777777">
        <w:trPr>
          <w:trHeight w:val="634"/>
        </w:trPr>
        <w:tc>
          <w:tcPr>
            <w:tcW w:w="113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24A831E" w14:textId="77777777" w:rsidR="00935862" w:rsidRDefault="00935862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  <w:p w14:paraId="52830B56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Effusion types</w:t>
            </w:r>
          </w:p>
        </w:tc>
        <w:tc>
          <w:tcPr>
            <w:tcW w:w="1460" w:type="dxa"/>
            <w:tcBorders>
              <w:top w:val="nil"/>
              <w:bottom w:val="nil"/>
            </w:tcBorders>
            <w:vAlign w:val="center"/>
          </w:tcPr>
          <w:p w14:paraId="38FEC8CB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Pleural effusion</w:t>
            </w:r>
          </w:p>
        </w:tc>
        <w:tc>
          <w:tcPr>
            <w:tcW w:w="2513" w:type="dxa"/>
            <w:tcBorders>
              <w:top w:val="nil"/>
              <w:bottom w:val="nil"/>
            </w:tcBorders>
            <w:vAlign w:val="center"/>
          </w:tcPr>
          <w:p w14:paraId="235337BB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15 (62.5%)</w:t>
            </w:r>
          </w:p>
        </w:tc>
        <w:tc>
          <w:tcPr>
            <w:tcW w:w="2619" w:type="dxa"/>
            <w:tcBorders>
              <w:top w:val="nil"/>
              <w:bottom w:val="nil"/>
            </w:tcBorders>
            <w:vAlign w:val="center"/>
          </w:tcPr>
          <w:p w14:paraId="4D095D39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26 (72.22%)</w:t>
            </w:r>
          </w:p>
        </w:tc>
        <w:tc>
          <w:tcPr>
            <w:tcW w:w="1202" w:type="dxa"/>
            <w:vMerge w:val="restart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0CD7C823" w14:textId="77777777" w:rsidR="00935862" w:rsidRDefault="00935862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</w:p>
          <w:p w14:paraId="31833875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0.5720</w:t>
            </w:r>
          </w:p>
        </w:tc>
      </w:tr>
      <w:tr w:rsidR="00935862" w14:paraId="2A00E3F2" w14:textId="77777777">
        <w:tc>
          <w:tcPr>
            <w:tcW w:w="1136" w:type="dxa"/>
            <w:vMerge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613A3EA" w14:textId="77777777" w:rsidR="00935862" w:rsidRDefault="0093586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top w:val="nil"/>
              <w:bottom w:val="single" w:sz="12" w:space="0" w:color="auto"/>
            </w:tcBorders>
            <w:vAlign w:val="center"/>
          </w:tcPr>
          <w:p w14:paraId="636AD238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Peritoneal effusion</w:t>
            </w:r>
          </w:p>
        </w:tc>
        <w:tc>
          <w:tcPr>
            <w:tcW w:w="2513" w:type="dxa"/>
            <w:tcBorders>
              <w:top w:val="nil"/>
              <w:bottom w:val="single" w:sz="12" w:space="0" w:color="auto"/>
            </w:tcBorders>
            <w:vAlign w:val="center"/>
          </w:tcPr>
          <w:p w14:paraId="38D9B107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9 (37.5%)</w:t>
            </w:r>
          </w:p>
        </w:tc>
        <w:tc>
          <w:tcPr>
            <w:tcW w:w="2619" w:type="dxa"/>
            <w:tcBorders>
              <w:top w:val="nil"/>
              <w:bottom w:val="single" w:sz="12" w:space="0" w:color="auto"/>
            </w:tcBorders>
            <w:vAlign w:val="center"/>
          </w:tcPr>
          <w:p w14:paraId="2FF32AAF" w14:textId="77777777" w:rsidR="00935862" w:rsidRDefault="00000000">
            <w:pPr>
              <w:jc w:val="center"/>
              <w:rPr>
                <w:rStyle w:val="Emphasis"/>
                <w:rFonts w:ascii="Times New Roman" w:hAnsi="Times New Roman"/>
                <w:i w:val="0"/>
                <w:sz w:val="24"/>
              </w:rPr>
            </w:pPr>
            <w:r>
              <w:rPr>
                <w:rStyle w:val="Emphasis"/>
                <w:rFonts w:ascii="Times New Roman" w:hAnsi="Times New Roman"/>
                <w:i w:val="0"/>
                <w:sz w:val="24"/>
              </w:rPr>
              <w:t>10 (27.78%)</w:t>
            </w:r>
          </w:p>
        </w:tc>
        <w:tc>
          <w:tcPr>
            <w:tcW w:w="1202" w:type="dxa"/>
            <w:vMerge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C566A19" w14:textId="77777777" w:rsidR="00935862" w:rsidRDefault="00935862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5662B90C" w14:textId="77777777" w:rsidR="00935862" w:rsidRDefault="00935862"/>
    <w:sectPr w:rsidR="00935862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60B8" w14:textId="77777777" w:rsidR="00942662" w:rsidRDefault="00942662"/>
  </w:endnote>
  <w:endnote w:type="continuationSeparator" w:id="0">
    <w:p w14:paraId="33018A2A" w14:textId="77777777" w:rsidR="00942662" w:rsidRDefault="009426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7750" w14:textId="77777777" w:rsidR="00277EAA" w:rsidRDefault="00277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0D97" w14:textId="77777777" w:rsidR="00277EAA" w:rsidRDefault="00277E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CF1A" w14:textId="77777777" w:rsidR="00277EAA" w:rsidRDefault="00277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6FAFA" w14:textId="77777777" w:rsidR="00942662" w:rsidRDefault="00942662"/>
  </w:footnote>
  <w:footnote w:type="continuationSeparator" w:id="0">
    <w:p w14:paraId="4339B4FB" w14:textId="77777777" w:rsidR="00942662" w:rsidRDefault="009426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62"/>
    <w:rsid w:val="00277EAA"/>
    <w:rsid w:val="00935862"/>
    <w:rsid w:val="00942662"/>
    <w:rsid w:val="00C42AD4"/>
    <w:rsid w:val="02275F93"/>
    <w:rsid w:val="2ABF3D27"/>
    <w:rsid w:val="799A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015C5F44-D6E3-4ED3-9C57-B61BB4D2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</w:rPr>
  </w:style>
  <w:style w:type="paragraph" w:styleId="Footer">
    <w:name w:val="footer"/>
    <w:basedOn w:val="Normal"/>
    <w:link w:val="FooterChar"/>
    <w:rsid w:val="00277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77EAA"/>
    <w:rPr>
      <w:rFonts w:ascii="Calibri" w:eastAsia="SimSun" w:hAnsi="Calibri" w:cs="Times New Roman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>Informa plc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Langshaw, Rebecca</cp:lastModifiedBy>
  <cp:revision>2</cp:revision>
  <dcterms:created xsi:type="dcterms:W3CDTF">2025-12-18T22:10:00Z</dcterms:created>
  <dcterms:modified xsi:type="dcterms:W3CDTF">2025-12-18T22:10:00Z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eyJoZGlkIjoiMWU2MWI5ZWZmZjliMDI0NmE3ZjE0ZGIzYTUyOTYzYTIiLCJ1c2VySWQiOiI5OTY3MTA4OTYifQ==</vt:lpwstr>
  </property>
  <property fmtid="{D5CDD505-2E9C-101B-9397-08002B2CF9AE}" pid="4" name="ICV">
    <vt:lpwstr>138E1A5D0D774D0B88477B0D66922BD3_12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2025-12-18T22:10:57Z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62550fa1-7731-41ad-b5f2-f9c74bee9800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