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887" w:tblpY="1819"/>
        <w:tblOverlap w:val="never"/>
        <w:tblW w:w="0" w:type="auto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3145"/>
        <w:gridCol w:w="2802"/>
      </w:tblGrid>
      <w:tr w:rsidR="00AF5D1B" w14:paraId="3582CC2A" w14:textId="77777777">
        <w:trPr>
          <w:trHeight w:val="744"/>
        </w:trPr>
        <w:tc>
          <w:tcPr>
            <w:tcW w:w="8223" w:type="dxa"/>
            <w:gridSpan w:val="3"/>
            <w:tcBorders>
              <w:top w:val="nil"/>
              <w:left w:val="nil"/>
              <w:bottom w:val="single" w:sz="12" w:space="0" w:color="auto"/>
            </w:tcBorders>
          </w:tcPr>
          <w:p w14:paraId="3096C1CD" w14:textId="77777777" w:rsidR="00AF5D1B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Supplementary Table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 xml:space="preserve"> 4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Style w:val="Emphasis"/>
                <w:rFonts w:ascii="Times New Roman" w:hAnsi="Times New Roman"/>
                <w:i w:val="0"/>
                <w:sz w:val="24"/>
              </w:rPr>
              <w:t>Clinical</w:t>
            </w:r>
            <w:r>
              <w:rPr>
                <w:rFonts w:ascii="Times New Roman" w:hAnsi="Times New Roman"/>
                <w:sz w:val="24"/>
              </w:rPr>
              <w:t xml:space="preserve"> and pathological information of </w:t>
            </w:r>
            <w:r>
              <w:rPr>
                <w:rStyle w:val="Emphasis"/>
                <w:rFonts w:ascii="Times New Roman" w:hAnsi="Times New Roman"/>
                <w:i w:val="0"/>
                <w:sz w:val="24"/>
              </w:rPr>
              <w:t xml:space="preserve">52 </w:t>
            </w:r>
            <w:r>
              <w:rPr>
                <w:rStyle w:val="Emphasis"/>
                <w:rFonts w:ascii="Times New Roman" w:hAnsi="Times New Roman" w:hint="eastAsia"/>
                <w:i w:val="0"/>
                <w:sz w:val="24"/>
              </w:rPr>
              <w:t xml:space="preserve">GC </w:t>
            </w:r>
            <w:r>
              <w:rPr>
                <w:rStyle w:val="Emphasis"/>
                <w:rFonts w:ascii="Times New Roman" w:hAnsi="Times New Roman"/>
                <w:i w:val="0"/>
                <w:sz w:val="24"/>
              </w:rPr>
              <w:t>cases available for immunohistochemical data of SERPINE1 in our center</w:t>
            </w:r>
          </w:p>
        </w:tc>
      </w:tr>
      <w:tr w:rsidR="00AF5D1B" w14:paraId="63D56FB4" w14:textId="77777777">
        <w:trPr>
          <w:trHeight w:val="556"/>
        </w:trPr>
        <w:tc>
          <w:tcPr>
            <w:tcW w:w="2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9A1951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Characteristics</w:t>
            </w:r>
          </w:p>
        </w:tc>
        <w:tc>
          <w:tcPr>
            <w:tcW w:w="59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6713E1E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N=52</w:t>
            </w:r>
          </w:p>
        </w:tc>
      </w:tr>
      <w:tr w:rsidR="00AF5D1B" w14:paraId="2702064B" w14:textId="77777777">
        <w:trPr>
          <w:trHeight w:val="482"/>
        </w:trPr>
        <w:tc>
          <w:tcPr>
            <w:tcW w:w="2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8C27EB6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Age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(average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±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SD)</w:t>
            </w:r>
          </w:p>
        </w:tc>
        <w:tc>
          <w:tcPr>
            <w:tcW w:w="5947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205FA46B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65.31±10.25</w:t>
            </w:r>
          </w:p>
        </w:tc>
      </w:tr>
      <w:tr w:rsidR="00AF5D1B" w14:paraId="4A67C17E" w14:textId="77777777">
        <w:tc>
          <w:tcPr>
            <w:tcW w:w="22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F3A333" w14:textId="77777777" w:rsidR="00AF5D1B" w:rsidRDefault="00000000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Gender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4EB5043F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25979EAC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 (73.08%)</w:t>
            </w:r>
          </w:p>
        </w:tc>
      </w:tr>
      <w:tr w:rsidR="00AF5D1B" w14:paraId="425847F6" w14:textId="77777777">
        <w:trPr>
          <w:trHeight w:val="352"/>
        </w:trPr>
        <w:tc>
          <w:tcPr>
            <w:tcW w:w="22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B2FA9F" w14:textId="77777777" w:rsidR="00AF5D1B" w:rsidRDefault="00AF5D1B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0B299223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Female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47FECD58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(26.92%)</w:t>
            </w:r>
          </w:p>
        </w:tc>
      </w:tr>
      <w:tr w:rsidR="00AF5D1B" w14:paraId="666E247D" w14:textId="77777777">
        <w:tc>
          <w:tcPr>
            <w:tcW w:w="22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96DF47" w14:textId="77777777" w:rsidR="00AF5D1B" w:rsidRDefault="00AF5D1B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  <w:p w14:paraId="51DA487A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Pathological type</w:t>
            </w:r>
            <w:r>
              <w:rPr>
                <w:rFonts w:ascii="Times New Roman" w:hAnsi="Times New Roman" w:hint="eastAsia"/>
                <w:sz w:val="24"/>
              </w:rPr>
              <w:t>s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4EB4D249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Adenocarcinoma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024AEEE7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(86.54%)</w:t>
            </w:r>
          </w:p>
        </w:tc>
      </w:tr>
      <w:tr w:rsidR="00AF5D1B" w14:paraId="332DFB40" w14:textId="77777777">
        <w:tc>
          <w:tcPr>
            <w:tcW w:w="22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791ED" w14:textId="77777777" w:rsidR="00AF5D1B" w:rsidRDefault="00AF5D1B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230B5688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Neuroendocrine </w:t>
            </w:r>
            <w:r>
              <w:rPr>
                <w:rStyle w:val="Emphasis"/>
                <w:rFonts w:ascii="Times New Roman" w:hAnsi="Times New Roman"/>
                <w:i w:val="0"/>
                <w:sz w:val="24"/>
              </w:rPr>
              <w:t> carcinoma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6CAD9300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(1.92%)</w:t>
            </w:r>
          </w:p>
        </w:tc>
      </w:tr>
      <w:tr w:rsidR="00AF5D1B" w14:paraId="6BE59E9F" w14:textId="77777777">
        <w:tc>
          <w:tcPr>
            <w:tcW w:w="22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A36C1" w14:textId="77777777" w:rsidR="00AF5D1B" w:rsidRDefault="00AF5D1B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4380E73B" w14:textId="77777777" w:rsidR="00AF5D1B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Adenoneuroendocrine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Style w:val="Emphasis"/>
                <w:rFonts w:ascii="Times New Roman" w:hAnsi="Times New Roman"/>
                <w:i w:val="0"/>
                <w:sz w:val="24"/>
              </w:rPr>
              <w:t> </w:t>
            </w:r>
          </w:p>
          <w:p w14:paraId="08EB671A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carcinoma</w:t>
            </w:r>
            <w:r>
              <w:rPr>
                <w:rFonts w:ascii="Times New Roman" w:hAnsi="Times New Roman"/>
                <w:sz w:val="24"/>
              </w:rPr>
              <w:t xml:space="preserve">  </w:t>
            </w:r>
          </w:p>
          <w:p w14:paraId="7E9417EF" w14:textId="77777777" w:rsidR="00AF5D1B" w:rsidRDefault="00AF5D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4DBDD0EF" w14:textId="77777777" w:rsidR="00AF5D1B" w:rsidRDefault="00AF5D1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B6DAF63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(11.54%)</w:t>
            </w:r>
          </w:p>
        </w:tc>
      </w:tr>
      <w:tr w:rsidR="00AF5D1B" w14:paraId="1C953FC4" w14:textId="77777777">
        <w:tc>
          <w:tcPr>
            <w:tcW w:w="2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6E757" w14:textId="77777777" w:rsidR="00AF5D1B" w:rsidRDefault="00000000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G</w:t>
            </w:r>
            <w:r>
              <w:rPr>
                <w:rFonts w:ascii="Times New Roman" w:hAnsi="Times New Roman"/>
                <w:sz w:val="24"/>
              </w:rPr>
              <w:t>rade</w:t>
            </w:r>
          </w:p>
          <w:p w14:paraId="708059C5" w14:textId="77777777" w:rsidR="00AF5D1B" w:rsidRDefault="00AF5D1B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8C4F1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Well/moderate 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  <w:vAlign w:val="center"/>
          </w:tcPr>
          <w:p w14:paraId="298020FF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(36.54%)</w:t>
            </w:r>
          </w:p>
        </w:tc>
      </w:tr>
      <w:tr w:rsidR="00AF5D1B" w14:paraId="411778E1" w14:textId="77777777">
        <w:trPr>
          <w:trHeight w:val="474"/>
        </w:trPr>
        <w:tc>
          <w:tcPr>
            <w:tcW w:w="2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27DAB" w14:textId="77777777" w:rsidR="00AF5D1B" w:rsidRDefault="00AF5D1B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E417B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Poor 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  <w:vAlign w:val="center"/>
          </w:tcPr>
          <w:p w14:paraId="14E96AD6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 (63.46%)</w:t>
            </w:r>
          </w:p>
        </w:tc>
      </w:tr>
      <w:tr w:rsidR="00AF5D1B" w14:paraId="278C7A25" w14:textId="77777777">
        <w:tc>
          <w:tcPr>
            <w:tcW w:w="22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BC31B0" w14:textId="77777777" w:rsidR="00AF5D1B" w:rsidRDefault="00AF5D1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176774B" w14:textId="77777777" w:rsidR="00AF5D1B" w:rsidRDefault="00AF5D1B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  <w:p w14:paraId="5F771402" w14:textId="77777777" w:rsidR="00AF5D1B" w:rsidRDefault="00000000">
            <w:pPr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T-stage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2567C854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T1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1A3C1E2C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(15.38%)</w:t>
            </w:r>
          </w:p>
        </w:tc>
      </w:tr>
      <w:tr w:rsidR="00AF5D1B" w14:paraId="678700A5" w14:textId="77777777">
        <w:tc>
          <w:tcPr>
            <w:tcW w:w="22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F9D6FC" w14:textId="77777777" w:rsidR="00AF5D1B" w:rsidRDefault="00AF5D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69C13806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T2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64F43E5F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(7.69%)</w:t>
            </w:r>
          </w:p>
        </w:tc>
      </w:tr>
      <w:tr w:rsidR="00AF5D1B" w14:paraId="51D8A77C" w14:textId="77777777">
        <w:tc>
          <w:tcPr>
            <w:tcW w:w="22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A5C06" w14:textId="77777777" w:rsidR="00AF5D1B" w:rsidRDefault="00AF5D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61B50AFD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T3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44C747A2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(26.92%)</w:t>
            </w:r>
          </w:p>
        </w:tc>
      </w:tr>
      <w:tr w:rsidR="00AF5D1B" w14:paraId="69BC49E9" w14:textId="77777777">
        <w:trPr>
          <w:trHeight w:val="363"/>
        </w:trPr>
        <w:tc>
          <w:tcPr>
            <w:tcW w:w="22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128BF" w14:textId="77777777" w:rsidR="00AF5D1B" w:rsidRDefault="00AF5D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023B60BC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T4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02107268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(50%)</w:t>
            </w:r>
          </w:p>
        </w:tc>
      </w:tr>
      <w:tr w:rsidR="00AF5D1B" w14:paraId="6B130ED1" w14:textId="77777777">
        <w:trPr>
          <w:trHeight w:val="292"/>
        </w:trPr>
        <w:tc>
          <w:tcPr>
            <w:tcW w:w="22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88B9C0" w14:textId="77777777" w:rsidR="00AF5D1B" w:rsidRDefault="00AF5D1B">
            <w:pPr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609D1BD6" w14:textId="77777777" w:rsidR="00AF5D1B" w:rsidRDefault="00000000">
            <w:pPr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N-stage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06597654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N0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30B1E570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(28.85%)</w:t>
            </w:r>
          </w:p>
        </w:tc>
      </w:tr>
      <w:tr w:rsidR="00AF5D1B" w14:paraId="7E1F338C" w14:textId="77777777">
        <w:tc>
          <w:tcPr>
            <w:tcW w:w="22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3DD4D" w14:textId="77777777" w:rsidR="00AF5D1B" w:rsidRDefault="00AF5D1B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2A3646B9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N1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577E904D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(23.08%)</w:t>
            </w:r>
          </w:p>
        </w:tc>
      </w:tr>
      <w:tr w:rsidR="00AF5D1B" w14:paraId="5626B42E" w14:textId="77777777">
        <w:tc>
          <w:tcPr>
            <w:tcW w:w="22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8CAF0" w14:textId="77777777" w:rsidR="00AF5D1B" w:rsidRDefault="00AF5D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0B281C22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N2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5FC46948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(15.38%)</w:t>
            </w:r>
          </w:p>
        </w:tc>
      </w:tr>
      <w:tr w:rsidR="00AF5D1B" w14:paraId="35716600" w14:textId="77777777">
        <w:trPr>
          <w:trHeight w:val="382"/>
        </w:trPr>
        <w:tc>
          <w:tcPr>
            <w:tcW w:w="22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932CC5" w14:textId="77777777" w:rsidR="00AF5D1B" w:rsidRDefault="00AF5D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3C6BCBF8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N3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7457F566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(32.69%)</w:t>
            </w:r>
          </w:p>
        </w:tc>
      </w:tr>
      <w:tr w:rsidR="00AF5D1B" w14:paraId="6162055B" w14:textId="77777777">
        <w:tc>
          <w:tcPr>
            <w:tcW w:w="22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8A2AAA" w14:textId="77777777" w:rsidR="00AF5D1B" w:rsidRDefault="00000000">
            <w:pPr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M-stage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32F5237D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M0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6656F5F2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52(100%)</w:t>
            </w:r>
          </w:p>
        </w:tc>
      </w:tr>
      <w:tr w:rsidR="00AF5D1B" w14:paraId="5187CAF1" w14:textId="77777777">
        <w:trPr>
          <w:trHeight w:val="362"/>
        </w:trPr>
        <w:tc>
          <w:tcPr>
            <w:tcW w:w="22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E5E1B" w14:textId="77777777" w:rsidR="00AF5D1B" w:rsidRDefault="00AF5D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1C195FF6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7B8B4E5D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F5D1B" w14:paraId="18C93D7F" w14:textId="77777777">
        <w:trPr>
          <w:trHeight w:val="368"/>
        </w:trPr>
        <w:tc>
          <w:tcPr>
            <w:tcW w:w="2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0B0C2" w14:textId="77777777" w:rsidR="00AF5D1B" w:rsidRDefault="00AF5D1B">
            <w:pPr>
              <w:rPr>
                <w:rFonts w:ascii="Times New Roman" w:hAnsi="Times New Roman"/>
                <w:sz w:val="24"/>
              </w:rPr>
            </w:pPr>
          </w:p>
          <w:p w14:paraId="7D2F8118" w14:textId="77777777" w:rsidR="00AF5D1B" w:rsidRDefault="00000000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Tumor Stage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C961A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Microsoft YaHei" w:hAnsi="Times New Roman"/>
                <w:color w:val="333333"/>
                <w:sz w:val="24"/>
                <w:shd w:val="clear" w:color="auto" w:fill="FFFFFF"/>
              </w:rPr>
              <w:t>Ⅰ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  <w:vAlign w:val="center"/>
          </w:tcPr>
          <w:p w14:paraId="47F18E96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(13.46%)</w:t>
            </w:r>
          </w:p>
        </w:tc>
      </w:tr>
      <w:tr w:rsidR="00AF5D1B" w14:paraId="1C3D2A57" w14:textId="77777777">
        <w:trPr>
          <w:trHeight w:val="377"/>
        </w:trPr>
        <w:tc>
          <w:tcPr>
            <w:tcW w:w="2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C42AA" w14:textId="77777777" w:rsidR="00AF5D1B" w:rsidRDefault="00AF5D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C0FBB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Microsoft YaHei" w:hAnsi="Times New Roman"/>
                <w:color w:val="333333"/>
                <w:sz w:val="24"/>
                <w:shd w:val="clear" w:color="auto" w:fill="FFFFFF"/>
              </w:rPr>
              <w:t>Ⅱ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  <w:vAlign w:val="center"/>
          </w:tcPr>
          <w:p w14:paraId="473D71D9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(32.46%)</w:t>
            </w:r>
          </w:p>
        </w:tc>
      </w:tr>
      <w:tr w:rsidR="00AF5D1B" w14:paraId="73FF0F08" w14:textId="77777777">
        <w:tc>
          <w:tcPr>
            <w:tcW w:w="2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1A6F1" w14:textId="77777777" w:rsidR="00AF5D1B" w:rsidRDefault="00AF5D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A4FF1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Microsoft YaHei" w:hAnsi="Times New Roman"/>
                <w:color w:val="333333"/>
                <w:sz w:val="24"/>
                <w:shd w:val="clear" w:color="auto" w:fill="FFFFFF"/>
              </w:rPr>
              <w:t>Ⅲ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  <w:vAlign w:val="center"/>
          </w:tcPr>
          <w:p w14:paraId="39111438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(53.85%)</w:t>
            </w:r>
          </w:p>
        </w:tc>
      </w:tr>
      <w:tr w:rsidR="00AF5D1B" w14:paraId="1588FA3D" w14:textId="77777777">
        <w:tc>
          <w:tcPr>
            <w:tcW w:w="227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4622B7" w14:textId="77777777" w:rsidR="00AF5D1B" w:rsidRDefault="00AF5D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0B30A7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Microsoft YaHei" w:hAnsi="Times New Roman"/>
                <w:color w:val="333333"/>
                <w:sz w:val="24"/>
                <w:shd w:val="clear" w:color="auto" w:fill="FFFFFF"/>
              </w:rPr>
              <w:t>Ⅳ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FF4905B" w14:textId="77777777" w:rsidR="00AF5D1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61BB2FE1" w14:textId="77777777" w:rsidR="00AF5D1B" w:rsidRDefault="00AF5D1B"/>
    <w:sectPr w:rsidR="00AF5D1B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7B14" w14:textId="77777777" w:rsidR="005A22D9" w:rsidRDefault="005A22D9"/>
  </w:endnote>
  <w:endnote w:type="continuationSeparator" w:id="0">
    <w:p w14:paraId="3F78F7D6" w14:textId="77777777" w:rsidR="005A22D9" w:rsidRDefault="005A22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2F81" w14:textId="77777777" w:rsidR="00E216FD" w:rsidRDefault="00E21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40A3" w14:textId="77777777" w:rsidR="00E216FD" w:rsidRDefault="00E216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F2F0" w14:textId="77777777" w:rsidR="00E216FD" w:rsidRDefault="00E21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0A80" w14:textId="77777777" w:rsidR="005A22D9" w:rsidRDefault="005A22D9"/>
  </w:footnote>
  <w:footnote w:type="continuationSeparator" w:id="0">
    <w:p w14:paraId="5AD6E3B0" w14:textId="77777777" w:rsidR="005A22D9" w:rsidRDefault="005A22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1B"/>
    <w:rsid w:val="005A22D9"/>
    <w:rsid w:val="00AF5D1B"/>
    <w:rsid w:val="00C42AD4"/>
    <w:rsid w:val="00E216FD"/>
    <w:rsid w:val="3A886145"/>
    <w:rsid w:val="42C51918"/>
    <w:rsid w:val="52A36E16"/>
    <w:rsid w:val="58955D40"/>
    <w:rsid w:val="5CA50038"/>
    <w:rsid w:val="7BB3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015C5F44-D6E3-4ED3-9C57-B61BB4D2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Pr>
      <w:i/>
    </w:rPr>
  </w:style>
  <w:style w:type="paragraph" w:styleId="Footer">
    <w:name w:val="footer"/>
    <w:basedOn w:val="Normal"/>
    <w:link w:val="FooterChar"/>
    <w:rsid w:val="00E216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216FD"/>
    <w:rPr>
      <w:rFonts w:ascii="Calibri" w:eastAsia="SimSun" w:hAnsi="Calibri" w:cs="Times New Roman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Informa plc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Langshaw, Rebecca</cp:lastModifiedBy>
  <cp:revision>2</cp:revision>
  <dcterms:created xsi:type="dcterms:W3CDTF">2025-12-18T22:11:00Z</dcterms:created>
  <dcterms:modified xsi:type="dcterms:W3CDTF">2025-12-18T22:11:00Z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eyJoZGlkIjoiMWU2MWI5ZWZmZjliMDI0NmE3ZjE0ZGIzYTUyOTYzYTIiLCJ1c2VySWQiOiI5OTY3MTA4OTYifQ==</vt:lpwstr>
  </property>
  <property fmtid="{D5CDD505-2E9C-101B-9397-08002B2CF9AE}" pid="4" name="ICV">
    <vt:lpwstr>D5DF3C71F68F4E93B63D3C762A3FA374_12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2025-12-18T22:11:19Z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dce5da76-acb0-42b0-b306-12b122ecf8c7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