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A543"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02B1C0BA"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51"/>
        <w:gridCol w:w="616"/>
        <w:gridCol w:w="4903"/>
        <w:gridCol w:w="630"/>
        <w:gridCol w:w="6892"/>
      </w:tblGrid>
      <w:tr w:rsidR="00191A23" w:rsidRPr="0022554A" w14:paraId="0BFBCE07" w14:textId="77777777" w:rsidTr="00E9548F">
        <w:tc>
          <w:tcPr>
            <w:tcW w:w="1951" w:type="dxa"/>
          </w:tcPr>
          <w:p w14:paraId="783B5AB0"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1812F7D8"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4903" w:type="dxa"/>
            <w:vAlign w:val="bottom"/>
          </w:tcPr>
          <w:p w14:paraId="2ABAE539"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630" w:type="dxa"/>
          </w:tcPr>
          <w:p w14:paraId="5EF887AF"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6892" w:type="dxa"/>
          </w:tcPr>
          <w:p w14:paraId="7F7A2574" w14:textId="77777777" w:rsidR="00191A23" w:rsidRPr="0022554A" w:rsidRDefault="00517788" w:rsidP="00517788">
            <w:pPr>
              <w:pStyle w:val="TableHeader"/>
              <w:tabs>
                <w:tab w:val="left" w:pos="5400"/>
              </w:tabs>
              <w:jc w:val="center"/>
              <w:rPr>
                <w:bCs/>
                <w:sz w:val="20"/>
              </w:rPr>
            </w:pPr>
            <w:bookmarkStart w:id="9" w:name="OLE_LINK1"/>
            <w:r>
              <w:rPr>
                <w:bCs/>
                <w:sz w:val="20"/>
              </w:rPr>
              <w:t>Relevant t</w:t>
            </w:r>
            <w:r w:rsidR="00191A23">
              <w:rPr>
                <w:bCs/>
                <w:sz w:val="20"/>
              </w:rPr>
              <w:t>ext from manuscript</w:t>
            </w:r>
            <w:bookmarkEnd w:id="9"/>
          </w:p>
        </w:tc>
      </w:tr>
      <w:tr w:rsidR="00191A23" w:rsidRPr="0022554A" w14:paraId="2B5F4AC4" w14:textId="77777777" w:rsidTr="00E9548F">
        <w:tc>
          <w:tcPr>
            <w:tcW w:w="1951" w:type="dxa"/>
            <w:vMerge w:val="restart"/>
          </w:tcPr>
          <w:p w14:paraId="561B91D2" w14:textId="77777777" w:rsidR="00191A23" w:rsidRPr="002602FB" w:rsidRDefault="00191A23" w:rsidP="0022554A">
            <w:pPr>
              <w:tabs>
                <w:tab w:val="left" w:pos="5400"/>
              </w:tabs>
              <w:rPr>
                <w:b/>
                <w:bCs/>
                <w:sz w:val="20"/>
              </w:rPr>
            </w:pPr>
            <w:bookmarkStart w:id="10" w:name="bold5"/>
            <w:bookmarkStart w:id="11" w:name="italic6"/>
            <w:bookmarkEnd w:id="0"/>
            <w:bookmarkEnd w:id="1"/>
            <w:bookmarkEnd w:id="2"/>
            <w:bookmarkEnd w:id="3"/>
            <w:bookmarkEnd w:id="4"/>
            <w:bookmarkEnd w:id="5"/>
            <w:bookmarkEnd w:id="6"/>
            <w:bookmarkEnd w:id="7"/>
            <w:bookmarkEnd w:id="8"/>
            <w:r w:rsidRPr="002602FB">
              <w:rPr>
                <w:b/>
                <w:sz w:val="20"/>
              </w:rPr>
              <w:t>Title and abstract</w:t>
            </w:r>
            <w:bookmarkEnd w:id="10"/>
            <w:bookmarkEnd w:id="11"/>
          </w:p>
        </w:tc>
        <w:tc>
          <w:tcPr>
            <w:tcW w:w="616" w:type="dxa"/>
            <w:vMerge w:val="restart"/>
          </w:tcPr>
          <w:p w14:paraId="7AB616BA" w14:textId="77777777" w:rsidR="00191A23" w:rsidRPr="0022554A" w:rsidRDefault="00191A23" w:rsidP="0022554A">
            <w:pPr>
              <w:tabs>
                <w:tab w:val="left" w:pos="5400"/>
              </w:tabs>
              <w:jc w:val="center"/>
              <w:rPr>
                <w:sz w:val="20"/>
              </w:rPr>
            </w:pPr>
            <w:r w:rsidRPr="0022554A">
              <w:rPr>
                <w:sz w:val="20"/>
              </w:rPr>
              <w:t>1</w:t>
            </w:r>
          </w:p>
        </w:tc>
        <w:tc>
          <w:tcPr>
            <w:tcW w:w="4903" w:type="dxa"/>
          </w:tcPr>
          <w:p w14:paraId="3692DDEC"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630" w:type="dxa"/>
          </w:tcPr>
          <w:p w14:paraId="3B58866B" w14:textId="77777777" w:rsidR="00191A23" w:rsidRPr="0022554A" w:rsidRDefault="008A68C4" w:rsidP="0022554A">
            <w:pPr>
              <w:tabs>
                <w:tab w:val="left" w:pos="5400"/>
              </w:tabs>
              <w:rPr>
                <w:sz w:val="20"/>
              </w:rPr>
            </w:pPr>
            <w:r>
              <w:rPr>
                <w:sz w:val="20"/>
              </w:rPr>
              <w:t>1</w:t>
            </w:r>
          </w:p>
        </w:tc>
        <w:tc>
          <w:tcPr>
            <w:tcW w:w="6892" w:type="dxa"/>
          </w:tcPr>
          <w:p w14:paraId="4E298EFC" w14:textId="785B7B02" w:rsidR="00191A23" w:rsidRPr="0022554A" w:rsidRDefault="001528ED" w:rsidP="0022554A">
            <w:pPr>
              <w:tabs>
                <w:tab w:val="left" w:pos="5400"/>
              </w:tabs>
              <w:rPr>
                <w:sz w:val="20"/>
              </w:rPr>
            </w:pPr>
            <w:r w:rsidRPr="001528ED">
              <w:rPr>
                <w:sz w:val="20"/>
              </w:rPr>
              <w:t>A Narrow Therapeutic Window of Platelet P2Y12 Reactivity in High-Risk Chinese PCI Patients</w:t>
            </w:r>
          </w:p>
        </w:tc>
      </w:tr>
      <w:tr w:rsidR="00191A23" w:rsidRPr="0022554A" w14:paraId="1809A98A" w14:textId="77777777" w:rsidTr="00E9548F">
        <w:tc>
          <w:tcPr>
            <w:tcW w:w="1951" w:type="dxa"/>
            <w:vMerge/>
          </w:tcPr>
          <w:p w14:paraId="01C4064B" w14:textId="77777777" w:rsidR="00191A23" w:rsidRPr="0022554A" w:rsidRDefault="00191A23" w:rsidP="0022554A">
            <w:pPr>
              <w:tabs>
                <w:tab w:val="left" w:pos="5400"/>
              </w:tabs>
              <w:rPr>
                <w:bCs/>
                <w:sz w:val="20"/>
              </w:rPr>
            </w:pPr>
            <w:bookmarkStart w:id="12" w:name="bold6" w:colFirst="0" w:colLast="0"/>
            <w:bookmarkStart w:id="13" w:name="italic7" w:colFirst="0" w:colLast="0"/>
          </w:p>
        </w:tc>
        <w:tc>
          <w:tcPr>
            <w:tcW w:w="616" w:type="dxa"/>
            <w:vMerge/>
          </w:tcPr>
          <w:p w14:paraId="58320A7D" w14:textId="77777777" w:rsidR="00191A23" w:rsidRPr="0022554A" w:rsidRDefault="00191A23" w:rsidP="0022554A">
            <w:pPr>
              <w:tabs>
                <w:tab w:val="left" w:pos="5400"/>
              </w:tabs>
              <w:jc w:val="center"/>
              <w:rPr>
                <w:sz w:val="20"/>
              </w:rPr>
            </w:pPr>
          </w:p>
        </w:tc>
        <w:tc>
          <w:tcPr>
            <w:tcW w:w="4903" w:type="dxa"/>
          </w:tcPr>
          <w:p w14:paraId="12C953CD"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630" w:type="dxa"/>
          </w:tcPr>
          <w:p w14:paraId="50A0A9A7" w14:textId="77777777" w:rsidR="00191A23" w:rsidRPr="0022554A" w:rsidRDefault="008A68C4" w:rsidP="0022554A">
            <w:pPr>
              <w:tabs>
                <w:tab w:val="left" w:pos="5400"/>
              </w:tabs>
              <w:rPr>
                <w:sz w:val="20"/>
              </w:rPr>
            </w:pPr>
            <w:r>
              <w:rPr>
                <w:sz w:val="20"/>
              </w:rPr>
              <w:t>2</w:t>
            </w:r>
          </w:p>
        </w:tc>
        <w:tc>
          <w:tcPr>
            <w:tcW w:w="6892" w:type="dxa"/>
          </w:tcPr>
          <w:p w14:paraId="3E993EC4" w14:textId="25E48F06" w:rsidR="00D81407" w:rsidRPr="0022554A" w:rsidRDefault="00D81407" w:rsidP="00D81407">
            <w:pPr>
              <w:tabs>
                <w:tab w:val="left" w:pos="5400"/>
              </w:tabs>
              <w:rPr>
                <w:rFonts w:hint="eastAsia"/>
                <w:sz w:val="20"/>
                <w:lang w:eastAsia="zh-CN"/>
              </w:rPr>
            </w:pPr>
            <w:r w:rsidRPr="00D81407">
              <w:rPr>
                <w:sz w:val="20"/>
              </w:rPr>
              <w:t>Much evidence has been provided that a therapeutic window of P2Y12 receptor inhibition exists, which is highly significantly associated with ischemic and bleeding events. The therapeutic window for high-risk stratification after percutaneous coronary intervention (PCI) is lacking. We aimed to investigate the therapeutic window of P2Y12 receptor inhibition in high-risk Chinese PCI patients. In this observational study, we analyzed 860 high-risk patients who were undergoing PCI. The primary endpoint was the correlation of VASP values with bleeding and ischemic components in high-risk patients. The secondary endpoint was a composite of cardiovascular death, myocardial infarction, definite stent thrombosis, urgent revascularization, and stroke at 12 months after</w:t>
            </w:r>
            <w:r w:rsidRPr="00D81407">
              <w:rPr>
                <w:rFonts w:hint="eastAsia"/>
                <w:sz w:val="20"/>
              </w:rPr>
              <w:t xml:space="preserve"> the index procedure. Among high-risk patients, VASP-PRI could significantly discriminate between PCI patients with and without ischemic events ([AUC]: 0.77; 95% CI, 0.72-0.82; P &lt; 0.001). A VASP-PRI</w:t>
            </w:r>
            <w:r w:rsidRPr="00D81407">
              <w:rPr>
                <w:rFonts w:hint="eastAsia"/>
                <w:sz w:val="20"/>
              </w:rPr>
              <w:t>≥</w:t>
            </w:r>
            <w:r w:rsidRPr="00D81407">
              <w:rPr>
                <w:rFonts w:hint="eastAsia"/>
                <w:sz w:val="20"/>
              </w:rPr>
              <w:t>0.45 was the optimal cutoff point to predict ischemic events(sensitivity: 86.6%; specificity: 63.6%). Similarly, VASP-PRI could also significantly discriminate between PCI patients with and without bleeding events ([AUC]: 0.77; 95% CI, 0.73-0.81; P &lt; 0.001). A VASP-PRI</w:t>
            </w:r>
            <w:r w:rsidRPr="00D81407">
              <w:rPr>
                <w:rFonts w:hint="eastAsia"/>
                <w:sz w:val="20"/>
              </w:rPr>
              <w:t>≤</w:t>
            </w:r>
            <w:r w:rsidRPr="00D81407">
              <w:rPr>
                <w:rFonts w:hint="eastAsia"/>
                <w:sz w:val="20"/>
              </w:rPr>
              <w:t>0.24 was the optimal cutoff point to predi</w:t>
            </w:r>
            <w:r w:rsidRPr="00D81407">
              <w:rPr>
                <w:sz w:val="20"/>
              </w:rPr>
              <w:t xml:space="preserve">ct bleeding events(sensitivity: 72.1%; specificity: 70.3%). Multivariate analysis showed that VASP-PRI was an independent predictor of the risk of MACE (odds ratio: 10.67, 95% CI 3.78-30.08). Our results suggest that high-risk Chinese patients undergoing PCI have a narrow therapeutic window. Within this window, high-risk patients are at lower risk for both ischemic and bleeding events. Platelet reactivity may have a guiding significance for personalized antiplatelet therapy in high-risk patients. </w:t>
            </w:r>
            <w:r w:rsidR="00627E85">
              <w:rPr>
                <w:sz w:val="20"/>
              </w:rPr>
              <w:t xml:space="preserve"> </w:t>
            </w:r>
          </w:p>
        </w:tc>
      </w:tr>
      <w:tr w:rsidR="00191A23" w:rsidRPr="0022554A" w14:paraId="3321A49F" w14:textId="77777777" w:rsidTr="00E9548F">
        <w:tc>
          <w:tcPr>
            <w:tcW w:w="8100" w:type="dxa"/>
            <w:gridSpan w:val="4"/>
          </w:tcPr>
          <w:p w14:paraId="45B9DFC9" w14:textId="77777777" w:rsidR="00191A23" w:rsidRPr="0022554A" w:rsidRDefault="00191A23" w:rsidP="0022554A">
            <w:pPr>
              <w:pStyle w:val="TableSubHead"/>
              <w:tabs>
                <w:tab w:val="left" w:pos="5400"/>
              </w:tabs>
              <w:rPr>
                <w:sz w:val="20"/>
              </w:rPr>
            </w:pPr>
            <w:bookmarkStart w:id="14" w:name="bold7"/>
            <w:bookmarkStart w:id="15" w:name="italic8"/>
            <w:bookmarkEnd w:id="12"/>
            <w:bookmarkEnd w:id="13"/>
            <w:r w:rsidRPr="0022554A">
              <w:rPr>
                <w:sz w:val="20"/>
              </w:rPr>
              <w:t>Introduction</w:t>
            </w:r>
          </w:p>
        </w:tc>
        <w:bookmarkEnd w:id="14"/>
        <w:bookmarkEnd w:id="15"/>
        <w:tc>
          <w:tcPr>
            <w:tcW w:w="6892" w:type="dxa"/>
          </w:tcPr>
          <w:p w14:paraId="06CAF4E5" w14:textId="77777777" w:rsidR="00191A23" w:rsidRPr="0022554A" w:rsidRDefault="00191A23" w:rsidP="0022554A">
            <w:pPr>
              <w:pStyle w:val="TableSubHead"/>
              <w:tabs>
                <w:tab w:val="left" w:pos="5400"/>
              </w:tabs>
              <w:rPr>
                <w:sz w:val="20"/>
              </w:rPr>
            </w:pPr>
          </w:p>
        </w:tc>
      </w:tr>
      <w:tr w:rsidR="00191A23" w:rsidRPr="0022554A" w14:paraId="71A0C88C" w14:textId="77777777" w:rsidTr="00E9548F">
        <w:tc>
          <w:tcPr>
            <w:tcW w:w="1951" w:type="dxa"/>
          </w:tcPr>
          <w:p w14:paraId="2CB540C7" w14:textId="77777777" w:rsidR="00191A23" w:rsidRPr="0022554A" w:rsidRDefault="00191A23" w:rsidP="0022554A">
            <w:pPr>
              <w:tabs>
                <w:tab w:val="left" w:pos="5400"/>
              </w:tabs>
              <w:rPr>
                <w:bCs/>
                <w:sz w:val="20"/>
              </w:rPr>
            </w:pPr>
            <w:bookmarkStart w:id="16" w:name="bold8"/>
            <w:bookmarkStart w:id="17" w:name="italic9"/>
            <w:r w:rsidRPr="0022554A">
              <w:rPr>
                <w:bCs/>
                <w:sz w:val="20"/>
              </w:rPr>
              <w:lastRenderedPageBreak/>
              <w:t>Background/</w:t>
            </w:r>
            <w:bookmarkStart w:id="18" w:name="bold9"/>
            <w:bookmarkStart w:id="19" w:name="italic10"/>
            <w:bookmarkEnd w:id="16"/>
            <w:bookmarkEnd w:id="17"/>
            <w:r w:rsidRPr="0022554A">
              <w:rPr>
                <w:bCs/>
                <w:sz w:val="20"/>
              </w:rPr>
              <w:t>rationale</w:t>
            </w:r>
            <w:bookmarkEnd w:id="18"/>
            <w:bookmarkEnd w:id="19"/>
          </w:p>
        </w:tc>
        <w:tc>
          <w:tcPr>
            <w:tcW w:w="616" w:type="dxa"/>
          </w:tcPr>
          <w:p w14:paraId="4082E40A" w14:textId="77777777" w:rsidR="00191A23" w:rsidRPr="0022554A" w:rsidRDefault="00191A23" w:rsidP="0022554A">
            <w:pPr>
              <w:tabs>
                <w:tab w:val="left" w:pos="5400"/>
              </w:tabs>
              <w:jc w:val="center"/>
              <w:rPr>
                <w:sz w:val="20"/>
              </w:rPr>
            </w:pPr>
            <w:r w:rsidRPr="0022554A">
              <w:rPr>
                <w:sz w:val="20"/>
              </w:rPr>
              <w:t>2</w:t>
            </w:r>
          </w:p>
        </w:tc>
        <w:tc>
          <w:tcPr>
            <w:tcW w:w="4903" w:type="dxa"/>
          </w:tcPr>
          <w:p w14:paraId="787333FD"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630" w:type="dxa"/>
          </w:tcPr>
          <w:p w14:paraId="769E6160" w14:textId="2DD2D272" w:rsidR="00191A23" w:rsidRPr="0022554A" w:rsidRDefault="00D81407" w:rsidP="0022554A">
            <w:pPr>
              <w:tabs>
                <w:tab w:val="left" w:pos="5400"/>
              </w:tabs>
              <w:rPr>
                <w:rFonts w:hint="eastAsia"/>
                <w:sz w:val="20"/>
                <w:lang w:eastAsia="zh-CN"/>
              </w:rPr>
            </w:pPr>
            <w:r>
              <w:rPr>
                <w:rFonts w:hint="eastAsia"/>
                <w:sz w:val="20"/>
                <w:lang w:eastAsia="zh-CN"/>
              </w:rPr>
              <w:t>3</w:t>
            </w:r>
            <w:r w:rsidR="008A68C4">
              <w:rPr>
                <w:sz w:val="20"/>
              </w:rPr>
              <w:t>-</w:t>
            </w:r>
            <w:r>
              <w:rPr>
                <w:rFonts w:hint="eastAsia"/>
                <w:sz w:val="20"/>
                <w:lang w:eastAsia="zh-CN"/>
              </w:rPr>
              <w:t>4</w:t>
            </w:r>
          </w:p>
        </w:tc>
        <w:tc>
          <w:tcPr>
            <w:tcW w:w="6892" w:type="dxa"/>
          </w:tcPr>
          <w:p w14:paraId="4C4FADEC" w14:textId="41736776" w:rsidR="00D81407" w:rsidRPr="00D81407" w:rsidRDefault="00D81407" w:rsidP="00D81407">
            <w:pPr>
              <w:tabs>
                <w:tab w:val="left" w:pos="5400"/>
              </w:tabs>
              <w:rPr>
                <w:sz w:val="20"/>
                <w:lang w:eastAsia="zh-CN"/>
              </w:rPr>
            </w:pPr>
            <w:r w:rsidRPr="00D81407">
              <w:rPr>
                <w:sz w:val="20"/>
                <w:lang w:eastAsia="zh-CN"/>
              </w:rPr>
              <w:t>Patients who are on aspirin and P2Y12 inhibitors during acute coronary syndrome (ACS) or percutaneous coronary intervention (PCI) are at risk of both ischemic and bleeding events. One potential strategy involves using a platelet reactivity test to guide antiplatelet therapy. Monitoring platelet reactivity during treatment with P2Y12 inhibitors may optimize the benefit-risk ratio by balancing thrombosis and bleeding. Therapeutic strategies are needed to reduce bleeding risk while preserving ischemic benefit by separating thrombotic risk from hemorrhagic risk. However, the benefit-risk trade-off associated with different potencies and durations of dual antiplatelet therapy (DAPT) primarily depends on the patient's risk profile for ischemia and bleeding. Current guidelines advocate using platelet reactivity tests in high-risk patients after PCI(class IIb recommendation).</w:t>
            </w:r>
          </w:p>
          <w:p w14:paraId="27D02149" w14:textId="00C61DFD" w:rsidR="00D81407" w:rsidRPr="00D81407" w:rsidRDefault="00D81407" w:rsidP="00D81407">
            <w:pPr>
              <w:tabs>
                <w:tab w:val="left" w:pos="5400"/>
              </w:tabs>
              <w:rPr>
                <w:sz w:val="20"/>
                <w:lang w:eastAsia="zh-CN"/>
              </w:rPr>
            </w:pPr>
            <w:r w:rsidRPr="00D81407">
              <w:rPr>
                <w:sz w:val="20"/>
                <w:lang w:eastAsia="zh-CN"/>
              </w:rPr>
              <w:t xml:space="preserve">In clinical practice, high on-treatment platelet reactivity (HPR) is associated with an increased risk of ischemic events. In contrast, low on-treatment platelet reactivity (LPR) is linked to an increased risk of bleeding. After hypothesizing that a "therapeutic window of platelet reactivity" exists, Gurbel et al. discovered emerging evidence for a normal on-treatment platelet reactivity (NPR) therapeutic window to prevent ischemic and bleeding events. Monitoring drug levels and assessing the patient's response help tailor therapy to individual needs and maintain the drug concentration within the therapeutic window. The optimal dose and type of antiplatelet medication can vary among patients due to differences in factors like genetics, metabolism, and comorbid conditions. East Asian individuals have a higher risk of bleeding but a lower incidence of ischemic events in response to antiplatelet therapy, known as the “East Asian paradox” due to varying risk profiles and genetic backgrounds when compared with Western populations. However, the current “therapeutic windows” on anti-platelet were based on randomized trials comprising mostly Caucasians; they may not be applicable across all races. According to the existing treatment window, the study population is not unified, the blood collection time is inconsistent, and the type of P2Y12 is inconsistent. Moreover, platelet reactivity to ADP is influenced by numerous factors, including gene and clinical factors. Clinical evidence suggests that patients with acute coronary syndrome (ACS) have higher on-treatment platelet reactivity than those with stable coronary artery disease. During the acute phase of ACS, </w:t>
            </w:r>
            <w:r w:rsidRPr="00D81407">
              <w:rPr>
                <w:sz w:val="20"/>
                <w:lang w:eastAsia="zh-CN"/>
              </w:rPr>
              <w:lastRenderedPageBreak/>
              <w:t>ADP pathways, thrombin, epinephrine, and collagen, and a thrombin generation environment with heightened platelet reactivity. So, there should be a difference in on-treatment platelet reactivity between low-risk and high-risk (vulnerable) patients.</w:t>
            </w:r>
          </w:p>
          <w:p w14:paraId="350A9271" w14:textId="79E97292" w:rsidR="00191A23" w:rsidRPr="00E9548F" w:rsidRDefault="00D81407" w:rsidP="00D81407">
            <w:pPr>
              <w:tabs>
                <w:tab w:val="left" w:pos="5400"/>
              </w:tabs>
              <w:rPr>
                <w:rFonts w:ascii="SimSun" w:hAnsi="SimSun" w:cs="SimSun" w:hint="eastAsia"/>
                <w:sz w:val="20"/>
                <w:lang w:eastAsia="zh-CN"/>
              </w:rPr>
            </w:pPr>
            <w:r w:rsidRPr="00D81407">
              <w:rPr>
                <w:sz w:val="20"/>
                <w:lang w:eastAsia="zh-CN"/>
              </w:rPr>
              <w:t xml:space="preserve">It is worth noting that certain cardiovascular risk factors, such as diabetes, can increase platelet reactivity regardless of the clinical condition. Proposed cutoff values should be cautiously applied due to limited clinical studies and platelet function tests. </w:t>
            </w:r>
          </w:p>
        </w:tc>
      </w:tr>
      <w:tr w:rsidR="00191A23" w:rsidRPr="0022554A" w14:paraId="57282B11" w14:textId="77777777" w:rsidTr="00E9548F">
        <w:tc>
          <w:tcPr>
            <w:tcW w:w="1951" w:type="dxa"/>
          </w:tcPr>
          <w:p w14:paraId="403A9859" w14:textId="77777777" w:rsidR="00191A23" w:rsidRPr="0022554A" w:rsidRDefault="00191A23" w:rsidP="0022554A">
            <w:pPr>
              <w:tabs>
                <w:tab w:val="left" w:pos="5400"/>
              </w:tabs>
              <w:rPr>
                <w:bCs/>
                <w:sz w:val="20"/>
              </w:rPr>
            </w:pPr>
            <w:bookmarkStart w:id="20" w:name="bold10" w:colFirst="0" w:colLast="0"/>
            <w:bookmarkStart w:id="21" w:name="italic11" w:colFirst="0" w:colLast="0"/>
            <w:r w:rsidRPr="0022554A">
              <w:rPr>
                <w:bCs/>
                <w:sz w:val="20"/>
              </w:rPr>
              <w:lastRenderedPageBreak/>
              <w:t>Objectives</w:t>
            </w:r>
          </w:p>
        </w:tc>
        <w:tc>
          <w:tcPr>
            <w:tcW w:w="616" w:type="dxa"/>
          </w:tcPr>
          <w:p w14:paraId="22F360FB" w14:textId="77777777" w:rsidR="00191A23" w:rsidRPr="0022554A" w:rsidRDefault="00191A23" w:rsidP="0022554A">
            <w:pPr>
              <w:tabs>
                <w:tab w:val="left" w:pos="5400"/>
              </w:tabs>
              <w:jc w:val="center"/>
              <w:rPr>
                <w:sz w:val="20"/>
              </w:rPr>
            </w:pPr>
            <w:r w:rsidRPr="0022554A">
              <w:rPr>
                <w:sz w:val="20"/>
              </w:rPr>
              <w:t>3</w:t>
            </w:r>
          </w:p>
        </w:tc>
        <w:tc>
          <w:tcPr>
            <w:tcW w:w="4903" w:type="dxa"/>
          </w:tcPr>
          <w:p w14:paraId="6DDC3E12"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630" w:type="dxa"/>
          </w:tcPr>
          <w:p w14:paraId="35461DEB" w14:textId="2A3B107E" w:rsidR="00191A23" w:rsidRPr="0022554A" w:rsidRDefault="00D81407" w:rsidP="0022554A">
            <w:pPr>
              <w:tabs>
                <w:tab w:val="left" w:pos="5400"/>
              </w:tabs>
              <w:rPr>
                <w:rFonts w:hint="eastAsia"/>
                <w:sz w:val="20"/>
                <w:lang w:eastAsia="zh-CN"/>
              </w:rPr>
            </w:pPr>
            <w:r>
              <w:rPr>
                <w:rFonts w:hint="eastAsia"/>
                <w:sz w:val="20"/>
                <w:lang w:eastAsia="zh-CN"/>
              </w:rPr>
              <w:t>4</w:t>
            </w:r>
          </w:p>
        </w:tc>
        <w:tc>
          <w:tcPr>
            <w:tcW w:w="6892" w:type="dxa"/>
          </w:tcPr>
          <w:p w14:paraId="5DF69111" w14:textId="3007E1C3" w:rsidR="00191A23" w:rsidRPr="0022554A" w:rsidRDefault="00D81407" w:rsidP="0022554A">
            <w:pPr>
              <w:tabs>
                <w:tab w:val="left" w:pos="5400"/>
              </w:tabs>
              <w:rPr>
                <w:sz w:val="20"/>
              </w:rPr>
            </w:pPr>
            <w:r>
              <w:rPr>
                <w:sz w:val="20"/>
                <w:lang w:eastAsia="zh-CN"/>
              </w:rPr>
              <w:t>T</w:t>
            </w:r>
            <w:r>
              <w:rPr>
                <w:rFonts w:hint="eastAsia"/>
                <w:sz w:val="20"/>
                <w:lang w:eastAsia="zh-CN"/>
              </w:rPr>
              <w:t>his study</w:t>
            </w:r>
            <w:r w:rsidRPr="00D81407">
              <w:rPr>
                <w:sz w:val="20"/>
                <w:lang w:eastAsia="zh-CN"/>
              </w:rPr>
              <w:t xml:space="preserve"> aimed to assess the predictive ability of the VASP assay for ischemic and bleeding events following PCI in high-risk patients treated with dual antiplatelet therapy.</w:t>
            </w:r>
          </w:p>
        </w:tc>
      </w:tr>
      <w:tr w:rsidR="00191A23" w:rsidRPr="0022554A" w14:paraId="57CD4BC4" w14:textId="77777777" w:rsidTr="00E9548F">
        <w:tc>
          <w:tcPr>
            <w:tcW w:w="8100" w:type="dxa"/>
            <w:gridSpan w:val="4"/>
          </w:tcPr>
          <w:p w14:paraId="3B09089D" w14:textId="77777777" w:rsidR="00191A23" w:rsidRPr="0022554A" w:rsidRDefault="00191A23" w:rsidP="0022554A">
            <w:pPr>
              <w:pStyle w:val="TableSubHead"/>
              <w:tabs>
                <w:tab w:val="left" w:pos="5400"/>
              </w:tabs>
              <w:rPr>
                <w:sz w:val="20"/>
              </w:rPr>
            </w:pPr>
            <w:bookmarkStart w:id="22" w:name="bold11"/>
            <w:bookmarkStart w:id="23" w:name="italic12"/>
            <w:bookmarkEnd w:id="20"/>
            <w:bookmarkEnd w:id="21"/>
            <w:r w:rsidRPr="0022554A">
              <w:rPr>
                <w:sz w:val="20"/>
              </w:rPr>
              <w:t>Methods</w:t>
            </w:r>
          </w:p>
        </w:tc>
        <w:bookmarkEnd w:id="22"/>
        <w:bookmarkEnd w:id="23"/>
        <w:tc>
          <w:tcPr>
            <w:tcW w:w="6892" w:type="dxa"/>
          </w:tcPr>
          <w:p w14:paraId="649C35EA" w14:textId="77777777" w:rsidR="00191A23" w:rsidRPr="0022554A" w:rsidRDefault="00191A23" w:rsidP="0022554A">
            <w:pPr>
              <w:pStyle w:val="TableSubHead"/>
              <w:tabs>
                <w:tab w:val="left" w:pos="5400"/>
              </w:tabs>
              <w:rPr>
                <w:sz w:val="20"/>
              </w:rPr>
            </w:pPr>
          </w:p>
        </w:tc>
      </w:tr>
      <w:tr w:rsidR="00191A23" w:rsidRPr="0022554A" w14:paraId="7A0DB26F" w14:textId="77777777" w:rsidTr="00E9548F">
        <w:tc>
          <w:tcPr>
            <w:tcW w:w="1951" w:type="dxa"/>
          </w:tcPr>
          <w:p w14:paraId="79E07E68" w14:textId="77777777" w:rsidR="00191A23" w:rsidRPr="0022554A" w:rsidRDefault="00191A23"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616" w:type="dxa"/>
          </w:tcPr>
          <w:p w14:paraId="345E64AD" w14:textId="77777777" w:rsidR="00191A23" w:rsidRPr="0022554A" w:rsidRDefault="00191A23" w:rsidP="0022554A">
            <w:pPr>
              <w:tabs>
                <w:tab w:val="left" w:pos="5400"/>
              </w:tabs>
              <w:jc w:val="center"/>
              <w:rPr>
                <w:sz w:val="20"/>
              </w:rPr>
            </w:pPr>
            <w:r w:rsidRPr="0022554A">
              <w:rPr>
                <w:sz w:val="20"/>
              </w:rPr>
              <w:t>4</w:t>
            </w:r>
          </w:p>
        </w:tc>
        <w:tc>
          <w:tcPr>
            <w:tcW w:w="4903" w:type="dxa"/>
          </w:tcPr>
          <w:p w14:paraId="2449154B"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630" w:type="dxa"/>
          </w:tcPr>
          <w:p w14:paraId="22C2ACEC" w14:textId="45CA677F" w:rsidR="00191A23" w:rsidRPr="0022554A" w:rsidRDefault="00D81407" w:rsidP="0022554A">
            <w:pPr>
              <w:tabs>
                <w:tab w:val="left" w:pos="5400"/>
              </w:tabs>
              <w:rPr>
                <w:rFonts w:hint="eastAsia"/>
                <w:sz w:val="20"/>
                <w:lang w:eastAsia="zh-CN"/>
              </w:rPr>
            </w:pPr>
            <w:r>
              <w:rPr>
                <w:rFonts w:hint="eastAsia"/>
                <w:sz w:val="20"/>
                <w:lang w:eastAsia="zh-CN"/>
              </w:rPr>
              <w:t>5</w:t>
            </w:r>
          </w:p>
        </w:tc>
        <w:tc>
          <w:tcPr>
            <w:tcW w:w="6892" w:type="dxa"/>
          </w:tcPr>
          <w:p w14:paraId="2170A8F0" w14:textId="77777777" w:rsidR="00191A23" w:rsidRPr="0022554A" w:rsidRDefault="008120DB" w:rsidP="0022554A">
            <w:pPr>
              <w:tabs>
                <w:tab w:val="left" w:pos="5400"/>
              </w:tabs>
              <w:rPr>
                <w:sz w:val="20"/>
              </w:rPr>
            </w:pPr>
            <w:r w:rsidRPr="008120DB">
              <w:rPr>
                <w:sz w:val="20"/>
              </w:rPr>
              <w:t xml:space="preserve">This study was a prospective observation study of consecutive patients who underwent PCI at 2 clinical centers in China </w:t>
            </w:r>
          </w:p>
        </w:tc>
      </w:tr>
      <w:tr w:rsidR="00191A23" w:rsidRPr="0022554A" w14:paraId="140A5EDC" w14:textId="77777777" w:rsidTr="00E9548F">
        <w:tc>
          <w:tcPr>
            <w:tcW w:w="1951" w:type="dxa"/>
          </w:tcPr>
          <w:p w14:paraId="7A8355D0" w14:textId="77777777" w:rsidR="00191A23" w:rsidRPr="0022554A" w:rsidRDefault="00191A23"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616" w:type="dxa"/>
          </w:tcPr>
          <w:p w14:paraId="1B8018C2" w14:textId="77777777" w:rsidR="00191A23" w:rsidRPr="0022554A" w:rsidRDefault="00191A23" w:rsidP="0022554A">
            <w:pPr>
              <w:tabs>
                <w:tab w:val="left" w:pos="5400"/>
              </w:tabs>
              <w:jc w:val="center"/>
              <w:rPr>
                <w:sz w:val="20"/>
              </w:rPr>
            </w:pPr>
            <w:r w:rsidRPr="0022554A">
              <w:rPr>
                <w:sz w:val="20"/>
              </w:rPr>
              <w:t>5</w:t>
            </w:r>
          </w:p>
        </w:tc>
        <w:tc>
          <w:tcPr>
            <w:tcW w:w="4903" w:type="dxa"/>
          </w:tcPr>
          <w:p w14:paraId="1C427843"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630" w:type="dxa"/>
          </w:tcPr>
          <w:p w14:paraId="3D0C5524" w14:textId="2FBAA680" w:rsidR="00191A23" w:rsidRPr="0022554A" w:rsidRDefault="00C367B7" w:rsidP="0022554A">
            <w:pPr>
              <w:tabs>
                <w:tab w:val="left" w:pos="5400"/>
              </w:tabs>
              <w:rPr>
                <w:rFonts w:hint="eastAsia"/>
                <w:sz w:val="20"/>
                <w:lang w:eastAsia="zh-CN"/>
              </w:rPr>
            </w:pPr>
            <w:r>
              <w:rPr>
                <w:sz w:val="20"/>
              </w:rPr>
              <w:t>5</w:t>
            </w:r>
            <w:r w:rsidR="00E02641">
              <w:rPr>
                <w:rFonts w:hint="eastAsia"/>
                <w:sz w:val="20"/>
                <w:lang w:eastAsia="zh-CN"/>
              </w:rPr>
              <w:t>-8</w:t>
            </w:r>
          </w:p>
        </w:tc>
        <w:tc>
          <w:tcPr>
            <w:tcW w:w="6892" w:type="dxa"/>
          </w:tcPr>
          <w:p w14:paraId="1D2B25C4" w14:textId="03771D6B" w:rsidR="00D81407" w:rsidRDefault="00E02641" w:rsidP="00E02641">
            <w:pPr>
              <w:tabs>
                <w:tab w:val="left" w:pos="5400"/>
              </w:tabs>
              <w:rPr>
                <w:sz w:val="20"/>
                <w:lang w:eastAsia="zh-CN"/>
              </w:rPr>
            </w:pPr>
            <w:r w:rsidRPr="00E02641">
              <w:rPr>
                <w:sz w:val="20"/>
                <w:lang w:eastAsia="zh-CN"/>
              </w:rPr>
              <w:t>The present study is a post hoc substudy to the research project entitled “A real-world study of P2Y12 receptor inhibitor therapy in patients with coronary heart disease undergoing PCI”. Briefly, This study was a prospective observational study. We evaluated patients with ACS, stable coronary artery disease (CAD), and a clinical need for PCI. These patients had undergone successful elective implantation of at least one drug-eluting stent (DES) without significant complications during the procedure. All patients who underwent PCI at 2 clinical centers in China from September 1, 2015, to September 1, 2017, were included in the study.</w:t>
            </w:r>
          </w:p>
          <w:p w14:paraId="1B5481F5" w14:textId="1E5A441D" w:rsidR="00CF2813" w:rsidRPr="0022554A" w:rsidRDefault="00E02641" w:rsidP="00E02641">
            <w:pPr>
              <w:tabs>
                <w:tab w:val="left" w:pos="5400"/>
              </w:tabs>
              <w:rPr>
                <w:rFonts w:hint="eastAsia"/>
                <w:sz w:val="20"/>
                <w:lang w:eastAsia="zh-CN"/>
              </w:rPr>
            </w:pPr>
            <w:r w:rsidRPr="00E02641">
              <w:rPr>
                <w:sz w:val="20"/>
                <w:lang w:eastAsia="zh-CN"/>
              </w:rPr>
              <w:t>Trained research coordinators at each center conducted follow-ups within 12 months via in-person or telephone consultations. They obtained source documents from patients reporting adverse events, including ischemia, bleeding, and cessation of DAPT.</w:t>
            </w:r>
          </w:p>
        </w:tc>
      </w:tr>
      <w:bookmarkEnd w:id="26"/>
      <w:bookmarkEnd w:id="27"/>
      <w:tr w:rsidR="00191A23" w:rsidRPr="0022554A" w14:paraId="0CFE2887" w14:textId="77777777" w:rsidTr="00E9548F">
        <w:tc>
          <w:tcPr>
            <w:tcW w:w="1951" w:type="dxa"/>
            <w:vMerge w:val="restart"/>
          </w:tcPr>
          <w:p w14:paraId="6CE5E301"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4A428956" w14:textId="77777777" w:rsidR="00191A23" w:rsidRPr="0022554A" w:rsidRDefault="00191A23" w:rsidP="0022554A">
            <w:pPr>
              <w:tabs>
                <w:tab w:val="left" w:pos="5400"/>
              </w:tabs>
              <w:jc w:val="center"/>
              <w:rPr>
                <w:sz w:val="20"/>
              </w:rPr>
            </w:pPr>
            <w:r w:rsidRPr="0022554A">
              <w:rPr>
                <w:sz w:val="20"/>
              </w:rPr>
              <w:t>6</w:t>
            </w:r>
          </w:p>
        </w:tc>
        <w:tc>
          <w:tcPr>
            <w:tcW w:w="4903" w:type="dxa"/>
          </w:tcPr>
          <w:p w14:paraId="759B7856"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6864821C" w14:textId="77777777" w:rsidR="00191A23" w:rsidRPr="0022554A" w:rsidRDefault="00191A23" w:rsidP="0022554A">
            <w:pPr>
              <w:tabs>
                <w:tab w:val="left" w:pos="5400"/>
              </w:tabs>
              <w:rPr>
                <w:sz w:val="20"/>
              </w:rPr>
            </w:pPr>
            <w:r w:rsidRPr="0022554A">
              <w:rPr>
                <w:i/>
                <w:sz w:val="20"/>
              </w:rPr>
              <w:lastRenderedPageBreak/>
              <w:t>Case-control study</w:t>
            </w:r>
            <w:r w:rsidRPr="0022554A">
              <w:rPr>
                <w:sz w:val="20"/>
              </w:rPr>
              <w:t>—Give the eligibility criteria, and the sources and methods of case ascertainment and control selection. Give the rationale for the choice of cases and controls</w:t>
            </w:r>
          </w:p>
          <w:p w14:paraId="72E06A93"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630" w:type="dxa"/>
          </w:tcPr>
          <w:p w14:paraId="266573A7" w14:textId="7E5F95F4" w:rsidR="00191A23" w:rsidRPr="0022554A" w:rsidRDefault="00CF2813" w:rsidP="0022554A">
            <w:pPr>
              <w:tabs>
                <w:tab w:val="left" w:pos="5400"/>
              </w:tabs>
              <w:rPr>
                <w:sz w:val="20"/>
              </w:rPr>
            </w:pPr>
            <w:r>
              <w:rPr>
                <w:sz w:val="20"/>
              </w:rPr>
              <w:lastRenderedPageBreak/>
              <w:t>5</w:t>
            </w:r>
          </w:p>
        </w:tc>
        <w:tc>
          <w:tcPr>
            <w:tcW w:w="6892" w:type="dxa"/>
          </w:tcPr>
          <w:p w14:paraId="4CF9249B" w14:textId="59951518" w:rsidR="00CF2813" w:rsidRPr="0022554A" w:rsidRDefault="00954CB8" w:rsidP="00E02641">
            <w:pPr>
              <w:tabs>
                <w:tab w:val="left" w:pos="5400"/>
              </w:tabs>
              <w:rPr>
                <w:rFonts w:hint="eastAsia"/>
                <w:sz w:val="20"/>
                <w:lang w:eastAsia="zh-CN"/>
              </w:rPr>
            </w:pPr>
            <w:r w:rsidRPr="00954CB8">
              <w:rPr>
                <w:sz w:val="20"/>
                <w:lang w:eastAsia="zh-CN"/>
              </w:rPr>
              <w:t xml:space="preserve">Patients 18 years or older who received PCI in 1 native coronary artery and were discharged on DAPT were eligible for enrollment. The study's exclusion criteria included individuals who are allergic or intolerant to any one of the dual antiplatelet treatment drugs (aspirin, clopidogrel/ticagrelor), those who have </w:t>
            </w:r>
            <w:r w:rsidRPr="00954CB8">
              <w:rPr>
                <w:sz w:val="20"/>
                <w:lang w:eastAsia="zh-CN"/>
              </w:rPr>
              <w:lastRenderedPageBreak/>
              <w:t>undergone or are scheduled to undergo surgery shortly, those with a platelet count lower than 70*109/L, those at high bleeding risk (active gastrointestinal bleeding, severe anemia, or ischemic stroke in the past three months), those with other end-stage diseases, and those with a shorter expected survival period.</w:t>
            </w:r>
          </w:p>
        </w:tc>
      </w:tr>
      <w:tr w:rsidR="00191A23" w:rsidRPr="0022554A" w14:paraId="797B9323" w14:textId="77777777" w:rsidTr="00E9548F">
        <w:tc>
          <w:tcPr>
            <w:tcW w:w="1951" w:type="dxa"/>
            <w:vMerge/>
          </w:tcPr>
          <w:p w14:paraId="0D656AD5" w14:textId="77777777" w:rsidR="00191A23" w:rsidRPr="0022554A" w:rsidRDefault="00191A23" w:rsidP="0022554A">
            <w:pPr>
              <w:tabs>
                <w:tab w:val="left" w:pos="5400"/>
              </w:tabs>
              <w:rPr>
                <w:bCs/>
                <w:sz w:val="20"/>
              </w:rPr>
            </w:pPr>
            <w:bookmarkStart w:id="28" w:name="bold14" w:colFirst="0" w:colLast="0"/>
            <w:bookmarkStart w:id="29" w:name="italic15" w:colFirst="0" w:colLast="0"/>
          </w:p>
        </w:tc>
        <w:tc>
          <w:tcPr>
            <w:tcW w:w="616" w:type="dxa"/>
            <w:vMerge/>
          </w:tcPr>
          <w:p w14:paraId="06C0322B" w14:textId="77777777" w:rsidR="00191A23" w:rsidRPr="0022554A" w:rsidRDefault="00191A23" w:rsidP="0022554A">
            <w:pPr>
              <w:tabs>
                <w:tab w:val="left" w:pos="5400"/>
              </w:tabs>
              <w:jc w:val="center"/>
              <w:rPr>
                <w:sz w:val="20"/>
              </w:rPr>
            </w:pPr>
          </w:p>
        </w:tc>
        <w:tc>
          <w:tcPr>
            <w:tcW w:w="4903" w:type="dxa"/>
          </w:tcPr>
          <w:p w14:paraId="1651455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46DE9491"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630" w:type="dxa"/>
          </w:tcPr>
          <w:p w14:paraId="63F656B7" w14:textId="77777777" w:rsidR="00191A23" w:rsidRPr="0022554A" w:rsidRDefault="00191A23" w:rsidP="0022554A">
            <w:pPr>
              <w:tabs>
                <w:tab w:val="left" w:pos="5400"/>
              </w:tabs>
              <w:rPr>
                <w:sz w:val="20"/>
              </w:rPr>
            </w:pPr>
          </w:p>
        </w:tc>
        <w:tc>
          <w:tcPr>
            <w:tcW w:w="6892" w:type="dxa"/>
          </w:tcPr>
          <w:p w14:paraId="7C6994BA" w14:textId="77777777" w:rsidR="00191A23" w:rsidRPr="0022554A" w:rsidRDefault="00191A23" w:rsidP="0022554A">
            <w:pPr>
              <w:tabs>
                <w:tab w:val="left" w:pos="5400"/>
              </w:tabs>
              <w:rPr>
                <w:sz w:val="20"/>
              </w:rPr>
            </w:pPr>
          </w:p>
        </w:tc>
      </w:tr>
      <w:tr w:rsidR="00191A23" w:rsidRPr="0022554A" w14:paraId="6EDD5E91" w14:textId="77777777" w:rsidTr="00E9548F">
        <w:tc>
          <w:tcPr>
            <w:tcW w:w="1951" w:type="dxa"/>
          </w:tcPr>
          <w:p w14:paraId="14C89164" w14:textId="77777777" w:rsidR="00191A23" w:rsidRPr="0022554A" w:rsidRDefault="00191A23" w:rsidP="0022554A">
            <w:pPr>
              <w:tabs>
                <w:tab w:val="left" w:pos="5400"/>
              </w:tabs>
              <w:rPr>
                <w:bCs/>
                <w:sz w:val="20"/>
              </w:rPr>
            </w:pPr>
            <w:bookmarkStart w:id="30" w:name="bold16" w:colFirst="0" w:colLast="0"/>
            <w:bookmarkStart w:id="31" w:name="italic17" w:colFirst="0" w:colLast="0"/>
            <w:bookmarkEnd w:id="28"/>
            <w:bookmarkEnd w:id="29"/>
            <w:r w:rsidRPr="0022554A">
              <w:rPr>
                <w:bCs/>
                <w:sz w:val="20"/>
              </w:rPr>
              <w:t>Variables</w:t>
            </w:r>
          </w:p>
        </w:tc>
        <w:tc>
          <w:tcPr>
            <w:tcW w:w="616" w:type="dxa"/>
          </w:tcPr>
          <w:p w14:paraId="6D7E5D8D" w14:textId="77777777" w:rsidR="00191A23" w:rsidRPr="0022554A" w:rsidRDefault="00191A23" w:rsidP="0022554A">
            <w:pPr>
              <w:tabs>
                <w:tab w:val="left" w:pos="5400"/>
              </w:tabs>
              <w:jc w:val="center"/>
              <w:rPr>
                <w:sz w:val="20"/>
              </w:rPr>
            </w:pPr>
            <w:r w:rsidRPr="0022554A">
              <w:rPr>
                <w:sz w:val="20"/>
              </w:rPr>
              <w:t>7</w:t>
            </w:r>
          </w:p>
        </w:tc>
        <w:tc>
          <w:tcPr>
            <w:tcW w:w="4903" w:type="dxa"/>
          </w:tcPr>
          <w:p w14:paraId="23D7DB37"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630" w:type="dxa"/>
          </w:tcPr>
          <w:p w14:paraId="2B01A386" w14:textId="5C9FC5B5" w:rsidR="00191A23" w:rsidRPr="0022554A" w:rsidRDefault="00954CB8" w:rsidP="0022554A">
            <w:pPr>
              <w:tabs>
                <w:tab w:val="left" w:pos="5400"/>
              </w:tabs>
              <w:rPr>
                <w:rFonts w:hint="eastAsia"/>
                <w:sz w:val="20"/>
                <w:lang w:eastAsia="zh-CN"/>
              </w:rPr>
            </w:pPr>
            <w:r>
              <w:rPr>
                <w:rFonts w:hint="eastAsia"/>
                <w:sz w:val="20"/>
                <w:lang w:eastAsia="zh-CN"/>
              </w:rPr>
              <w:t>5-7</w:t>
            </w:r>
          </w:p>
        </w:tc>
        <w:tc>
          <w:tcPr>
            <w:tcW w:w="6892" w:type="dxa"/>
          </w:tcPr>
          <w:p w14:paraId="1F05FD68" w14:textId="77777777" w:rsidR="00191A23" w:rsidRDefault="00954CB8" w:rsidP="000550C9">
            <w:pPr>
              <w:rPr>
                <w:sz w:val="20"/>
                <w:lang w:eastAsia="zh-CN"/>
              </w:rPr>
            </w:pPr>
            <w:r w:rsidRPr="00954CB8">
              <w:rPr>
                <w:rFonts w:hint="eastAsia"/>
                <w:sz w:val="20"/>
                <w:lang w:eastAsia="zh-CN"/>
              </w:rPr>
              <w:t xml:space="preserve">High-risk was defined as having </w:t>
            </w:r>
            <w:r w:rsidRPr="00954CB8">
              <w:rPr>
                <w:rFonts w:hint="eastAsia"/>
                <w:sz w:val="20"/>
                <w:lang w:eastAsia="zh-CN"/>
              </w:rPr>
              <w:t>≥</w:t>
            </w:r>
            <w:r w:rsidRPr="00954CB8">
              <w:rPr>
                <w:rFonts w:hint="eastAsia"/>
                <w:sz w:val="20"/>
                <w:lang w:eastAsia="zh-CN"/>
              </w:rPr>
              <w:t>2 of the following factors for ischemic and/or bleeding events: old age (</w:t>
            </w:r>
            <w:r w:rsidRPr="00954CB8">
              <w:rPr>
                <w:rFonts w:hint="eastAsia"/>
                <w:sz w:val="20"/>
                <w:lang w:eastAsia="zh-CN"/>
              </w:rPr>
              <w:t>≥</w:t>
            </w:r>
            <w:r w:rsidRPr="00954CB8">
              <w:rPr>
                <w:rFonts w:hint="eastAsia"/>
                <w:sz w:val="20"/>
                <w:lang w:eastAsia="zh-CN"/>
              </w:rPr>
              <w:t>75 years), female gender, renal dysfunction[estimated Glomerular Filtration Ratio (eGFR) &lt;60mL/min] or anemia at the time of PCI (hemoglobin level&lt;13</w:t>
            </w:r>
            <w:r w:rsidRPr="00954CB8">
              <w:rPr>
                <w:sz w:val="20"/>
                <w:lang w:eastAsia="zh-CN"/>
              </w:rPr>
              <w:t>.2 g/dL for men, &lt;11.8 g/dL for women), low body weight (&lt;60 kg), hypertension (as previously diagnosed), diabetes mellitus, previous stroke, use of non-steroidal anti-inflammatory drugs or selective serotonin reuptake inhibitors, triple anti-hemostatic therapy, previous in-stent thrombosis, and high-risk stenting (multivessel PCI or primary coronary artery stenting)</w:t>
            </w:r>
          </w:p>
          <w:p w14:paraId="30BC09DC" w14:textId="77777777" w:rsidR="00954CB8" w:rsidRPr="00954CB8" w:rsidRDefault="00954CB8" w:rsidP="00954CB8">
            <w:pPr>
              <w:rPr>
                <w:sz w:val="20"/>
                <w:lang w:eastAsia="zh-CN"/>
              </w:rPr>
            </w:pPr>
            <w:r w:rsidRPr="00954CB8">
              <w:rPr>
                <w:sz w:val="20"/>
                <w:lang w:eastAsia="zh-CN"/>
              </w:rPr>
              <w:t>All clinical outcomes are defined based on the Academic Research Consortium (ARC) criteria. All deaths were considered to be due to cardiovascular causes unless there was clear evidence of a non-cardiovascular cause. According to the criteria set by the Am</w:t>
            </w:r>
            <w:r w:rsidRPr="00954CB8">
              <w:rPr>
                <w:rFonts w:hint="eastAsia"/>
                <w:sz w:val="20"/>
                <w:lang w:eastAsia="zh-CN"/>
              </w:rPr>
              <w:t>erican College of Cardiology, myocardial infarction is defined as a rise in serum troponin I or an increase in creatine kinase-myocardial band isoenzyme in at least one of the following: acute onset of prolonged(</w:t>
            </w:r>
            <w:r w:rsidRPr="00954CB8">
              <w:rPr>
                <w:rFonts w:hint="eastAsia"/>
                <w:sz w:val="20"/>
                <w:lang w:eastAsia="zh-CN"/>
              </w:rPr>
              <w:t>≥</w:t>
            </w:r>
            <w:r w:rsidRPr="00954CB8">
              <w:rPr>
                <w:rFonts w:hint="eastAsia"/>
                <w:sz w:val="20"/>
                <w:lang w:eastAsia="zh-CN"/>
              </w:rPr>
              <w:t xml:space="preserve">20min) typical ischemia chest pain; ST-segment elevation of at least 1mm in 2 or more contiguous electrocardiographic leads or ST-segment depression </w:t>
            </w:r>
            <w:r w:rsidRPr="00954CB8">
              <w:rPr>
                <w:rFonts w:hint="eastAsia"/>
                <w:sz w:val="20"/>
                <w:lang w:eastAsia="zh-CN"/>
              </w:rPr>
              <w:t>≥</w:t>
            </w:r>
            <w:r w:rsidRPr="00954CB8">
              <w:rPr>
                <w:rFonts w:hint="eastAsia"/>
                <w:sz w:val="20"/>
                <w:lang w:eastAsia="zh-CN"/>
              </w:rPr>
              <w:t xml:space="preserve">0.5mm in </w:t>
            </w:r>
            <w:r w:rsidRPr="00954CB8">
              <w:rPr>
                <w:rFonts w:hint="eastAsia"/>
                <w:sz w:val="20"/>
                <w:lang w:eastAsia="zh-CN"/>
              </w:rPr>
              <w:t>≥</w:t>
            </w:r>
            <w:r w:rsidRPr="00954CB8">
              <w:rPr>
                <w:rFonts w:hint="eastAsia"/>
                <w:sz w:val="20"/>
                <w:lang w:eastAsia="zh-CN"/>
              </w:rPr>
              <w:t xml:space="preserve">2 contiguous leads; or T-wave inversion&gt;1mm in leads with predominant R waves. Stent thrombosis was defined as </w:t>
            </w:r>
            <w:r w:rsidRPr="00954CB8">
              <w:rPr>
                <w:rFonts w:hint="eastAsia"/>
                <w:sz w:val="20"/>
                <w:lang w:eastAsia="zh-CN"/>
              </w:rPr>
              <w:t>“</w:t>
            </w:r>
            <w:r w:rsidRPr="00954CB8">
              <w:rPr>
                <w:rFonts w:hint="eastAsia"/>
                <w:sz w:val="20"/>
                <w:lang w:eastAsia="zh-CN"/>
              </w:rPr>
              <w:t>definite</w:t>
            </w:r>
            <w:r w:rsidRPr="00954CB8">
              <w:rPr>
                <w:rFonts w:hint="eastAsia"/>
                <w:sz w:val="20"/>
                <w:lang w:eastAsia="zh-CN"/>
              </w:rPr>
              <w:t>”</w:t>
            </w:r>
            <w:r w:rsidRPr="00954CB8">
              <w:rPr>
                <w:rFonts w:hint="eastAsia"/>
                <w:sz w:val="20"/>
                <w:lang w:eastAsia="zh-CN"/>
              </w:rPr>
              <w:t xml:space="preserve"> or </w:t>
            </w:r>
            <w:r w:rsidRPr="00954CB8">
              <w:rPr>
                <w:rFonts w:hint="eastAsia"/>
                <w:sz w:val="20"/>
                <w:lang w:eastAsia="zh-CN"/>
              </w:rPr>
              <w:t>“</w:t>
            </w:r>
            <w:r w:rsidRPr="00954CB8">
              <w:rPr>
                <w:rFonts w:hint="eastAsia"/>
                <w:sz w:val="20"/>
                <w:lang w:eastAsia="zh-CN"/>
              </w:rPr>
              <w:t>probable</w:t>
            </w:r>
            <w:r w:rsidRPr="00954CB8">
              <w:rPr>
                <w:rFonts w:hint="eastAsia"/>
                <w:sz w:val="20"/>
                <w:lang w:eastAsia="zh-CN"/>
              </w:rPr>
              <w:t>”</w:t>
            </w:r>
            <w:r w:rsidRPr="00954CB8">
              <w:rPr>
                <w:rFonts w:hint="eastAsia"/>
                <w:sz w:val="20"/>
                <w:lang w:eastAsia="zh-CN"/>
              </w:rPr>
              <w:t xml:space="preserve"> acc</w:t>
            </w:r>
            <w:r w:rsidRPr="00954CB8">
              <w:rPr>
                <w:sz w:val="20"/>
                <w:lang w:eastAsia="zh-CN"/>
              </w:rPr>
              <w:t xml:space="preserve">ording to definitions set by the Academic Research Consortium (ARC). </w:t>
            </w:r>
          </w:p>
          <w:p w14:paraId="78EB1DA6" w14:textId="38D2FE43" w:rsidR="00954CB8" w:rsidRPr="0022554A" w:rsidRDefault="00954CB8" w:rsidP="00954CB8">
            <w:pPr>
              <w:rPr>
                <w:rFonts w:hint="eastAsia"/>
                <w:sz w:val="20"/>
                <w:lang w:eastAsia="zh-CN"/>
              </w:rPr>
            </w:pPr>
            <w:r w:rsidRPr="00954CB8">
              <w:rPr>
                <w:sz w:val="20"/>
                <w:lang w:eastAsia="zh-CN"/>
              </w:rPr>
              <w:t xml:space="preserve">Bleeding was defined according to Bleeding Academic Research Consortium (BARC) criteria type 2,3,5 bleeding[13]. Major bleeding was defined as BARC </w:t>
            </w:r>
            <w:r w:rsidRPr="00954CB8">
              <w:rPr>
                <w:sz w:val="20"/>
                <w:lang w:eastAsia="zh-CN"/>
              </w:rPr>
              <w:lastRenderedPageBreak/>
              <w:t>types 3 and 5 bleeding. The Clinical Events Adjudication Committee (CEAC) will individually review and decide on each endpoint.</w:t>
            </w:r>
          </w:p>
        </w:tc>
      </w:tr>
      <w:tr w:rsidR="00191A23" w:rsidRPr="0022554A" w14:paraId="6AE779AA" w14:textId="77777777" w:rsidTr="00E9548F">
        <w:trPr>
          <w:trHeight w:val="294"/>
        </w:trPr>
        <w:tc>
          <w:tcPr>
            <w:tcW w:w="1951" w:type="dxa"/>
          </w:tcPr>
          <w:p w14:paraId="3D81C4DB" w14:textId="77777777" w:rsidR="00191A23" w:rsidRPr="0022554A" w:rsidRDefault="00191A23" w:rsidP="0022554A">
            <w:pPr>
              <w:tabs>
                <w:tab w:val="left" w:pos="5400"/>
              </w:tabs>
              <w:rPr>
                <w:bCs/>
                <w:sz w:val="20"/>
              </w:rPr>
            </w:pPr>
            <w:bookmarkStart w:id="32" w:name="bold17"/>
            <w:bookmarkStart w:id="33" w:name="italic18"/>
            <w:bookmarkEnd w:id="30"/>
            <w:bookmarkEnd w:id="31"/>
            <w:r w:rsidRPr="0022554A">
              <w:rPr>
                <w:bCs/>
                <w:sz w:val="20"/>
              </w:rPr>
              <w:lastRenderedPageBreak/>
              <w:t>Data sources/</w:t>
            </w:r>
            <w:bookmarkStart w:id="34" w:name="bold18"/>
            <w:bookmarkStart w:id="35" w:name="italic19"/>
            <w:bookmarkEnd w:id="32"/>
            <w:bookmarkEnd w:id="33"/>
            <w:r>
              <w:rPr>
                <w:bCs/>
                <w:sz w:val="20"/>
              </w:rPr>
              <w:t xml:space="preserve"> </w:t>
            </w:r>
            <w:r w:rsidRPr="0022554A">
              <w:rPr>
                <w:bCs/>
                <w:sz w:val="20"/>
              </w:rPr>
              <w:t>measurement</w:t>
            </w:r>
            <w:bookmarkEnd w:id="34"/>
            <w:bookmarkEnd w:id="35"/>
          </w:p>
        </w:tc>
        <w:tc>
          <w:tcPr>
            <w:tcW w:w="616" w:type="dxa"/>
          </w:tcPr>
          <w:p w14:paraId="3669D9DB" w14:textId="77777777" w:rsidR="00191A23" w:rsidRPr="0022554A" w:rsidRDefault="00191A23" w:rsidP="0022554A">
            <w:pPr>
              <w:tabs>
                <w:tab w:val="left" w:pos="5400"/>
              </w:tabs>
              <w:jc w:val="center"/>
              <w:rPr>
                <w:sz w:val="20"/>
              </w:rPr>
            </w:pPr>
            <w:r w:rsidRPr="0022554A">
              <w:rPr>
                <w:sz w:val="20"/>
              </w:rPr>
              <w:t>8</w:t>
            </w:r>
            <w:bookmarkStart w:id="36" w:name="bold19"/>
            <w:r w:rsidRPr="0022554A">
              <w:rPr>
                <w:bCs/>
                <w:sz w:val="20"/>
              </w:rPr>
              <w:t>*</w:t>
            </w:r>
            <w:bookmarkEnd w:id="36"/>
          </w:p>
        </w:tc>
        <w:tc>
          <w:tcPr>
            <w:tcW w:w="4903" w:type="dxa"/>
          </w:tcPr>
          <w:p w14:paraId="15D7674D"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630" w:type="dxa"/>
          </w:tcPr>
          <w:p w14:paraId="03A2A60E" w14:textId="6BAA2248" w:rsidR="00191A23" w:rsidRPr="00B93760" w:rsidRDefault="00954CB8" w:rsidP="0022554A">
            <w:pPr>
              <w:tabs>
                <w:tab w:val="left" w:pos="5400"/>
              </w:tabs>
              <w:rPr>
                <w:rFonts w:hint="eastAsia"/>
                <w:iCs/>
                <w:sz w:val="20"/>
                <w:lang w:eastAsia="zh-CN"/>
              </w:rPr>
            </w:pPr>
            <w:r>
              <w:rPr>
                <w:rFonts w:hint="eastAsia"/>
                <w:iCs/>
                <w:sz w:val="20"/>
                <w:lang w:eastAsia="zh-CN"/>
              </w:rPr>
              <w:t>6</w:t>
            </w:r>
            <w:r w:rsidR="000550C9">
              <w:rPr>
                <w:iCs/>
                <w:sz w:val="20"/>
              </w:rPr>
              <w:t>-</w:t>
            </w:r>
            <w:r>
              <w:rPr>
                <w:rFonts w:hint="eastAsia"/>
                <w:iCs/>
                <w:sz w:val="20"/>
                <w:lang w:eastAsia="zh-CN"/>
              </w:rPr>
              <w:t>8</w:t>
            </w:r>
          </w:p>
        </w:tc>
        <w:tc>
          <w:tcPr>
            <w:tcW w:w="6892" w:type="dxa"/>
          </w:tcPr>
          <w:p w14:paraId="11C91997" w14:textId="7A1094F5" w:rsidR="00191A23" w:rsidRPr="000550C9" w:rsidRDefault="00954CB8" w:rsidP="0022554A">
            <w:pPr>
              <w:tabs>
                <w:tab w:val="left" w:pos="5400"/>
              </w:tabs>
              <w:rPr>
                <w:iCs/>
                <w:sz w:val="20"/>
                <w:lang w:eastAsia="zh-CN"/>
              </w:rPr>
            </w:pPr>
            <w:r w:rsidRPr="00954CB8">
              <w:rPr>
                <w:iCs/>
                <w:sz w:val="20"/>
                <w:lang w:eastAsia="zh-CN"/>
              </w:rPr>
              <w:t>Specialized equipment and trained laboratory personnel are established in platelet function tests. The VASP-platelet reactivity index (PRI) has been utilized to evaluate the effectiveness of platelet reactivity inhibition. Blood samples were drawn 12-24 hours after the PCI procedure. The first 3- 5 mL of blood was discarded to prevent platelet activation. Blood was then collected into a Vacutainer containing 3.8% trisodium citrate. The Vacutainer was gently inverted 3-5 times and sent to the lab immediately. Within 24 hours of blood collection, an experienced investigator performed a standardized flow cytometric assay (Platelet VASP; Diagnostica Stago (Biocytex), Asnieres, France) to analyze VASP index phosphorylation. VASP-PRI was calculated from the median fluorescence intensity (MFI) of samples incubated with prostaglandin E1(PGE1) or prostaglandin E1 and adenosine diphosphate (ADP) according to the formula: PRI VASP = [(MFI(PGE1)- MFI(PGE1+ADP)) /MFI(PGE1)]*100. This platelet assay has several advantages: it is standardized, reproducible, highly specific to the P2Y12-ADP receptor pathway, and correlates with the response to clopidogrel.</w:t>
            </w:r>
            <w:r w:rsidR="000550C9" w:rsidRPr="000550C9">
              <w:rPr>
                <w:iCs/>
                <w:sz w:val="20"/>
                <w:lang w:eastAsia="zh-CN"/>
              </w:rPr>
              <w:t>All patients underwent a follow-up evaluation at the 1-year mark, either during a clinical visit or via telephone contact. An independent clinical events committee, unaware of the details of the study, evaluated all adverse events.</w:t>
            </w:r>
          </w:p>
        </w:tc>
      </w:tr>
      <w:tr w:rsidR="00191A23" w:rsidRPr="0022554A" w14:paraId="66D60337" w14:textId="77777777" w:rsidTr="00E9548F">
        <w:tc>
          <w:tcPr>
            <w:tcW w:w="1951" w:type="dxa"/>
          </w:tcPr>
          <w:p w14:paraId="4D33575B" w14:textId="77777777" w:rsidR="00191A23" w:rsidRPr="0022554A" w:rsidRDefault="00191A23" w:rsidP="0022554A">
            <w:pPr>
              <w:tabs>
                <w:tab w:val="left" w:pos="5400"/>
              </w:tabs>
              <w:rPr>
                <w:bCs/>
                <w:color w:val="000000"/>
                <w:sz w:val="20"/>
              </w:rPr>
            </w:pPr>
            <w:bookmarkStart w:id="37" w:name="bold20" w:colFirst="0" w:colLast="0"/>
            <w:bookmarkStart w:id="38" w:name="italic20" w:colFirst="0" w:colLast="0"/>
            <w:r w:rsidRPr="0022554A">
              <w:rPr>
                <w:bCs/>
                <w:color w:val="000000"/>
                <w:sz w:val="20"/>
              </w:rPr>
              <w:t>Bias</w:t>
            </w:r>
          </w:p>
        </w:tc>
        <w:tc>
          <w:tcPr>
            <w:tcW w:w="616" w:type="dxa"/>
          </w:tcPr>
          <w:p w14:paraId="45AB2DC7" w14:textId="77777777" w:rsidR="00191A23" w:rsidRPr="0022554A" w:rsidRDefault="00191A23" w:rsidP="0022554A">
            <w:pPr>
              <w:tabs>
                <w:tab w:val="left" w:pos="5400"/>
              </w:tabs>
              <w:jc w:val="center"/>
              <w:rPr>
                <w:sz w:val="20"/>
              </w:rPr>
            </w:pPr>
            <w:r w:rsidRPr="0022554A">
              <w:rPr>
                <w:sz w:val="20"/>
              </w:rPr>
              <w:t>9</w:t>
            </w:r>
          </w:p>
        </w:tc>
        <w:tc>
          <w:tcPr>
            <w:tcW w:w="4903" w:type="dxa"/>
          </w:tcPr>
          <w:p w14:paraId="5307FE76"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630" w:type="dxa"/>
          </w:tcPr>
          <w:p w14:paraId="74B9E688" w14:textId="062566ED" w:rsidR="00191A23" w:rsidRPr="0022554A" w:rsidRDefault="00954CB8" w:rsidP="0022554A">
            <w:pPr>
              <w:tabs>
                <w:tab w:val="left" w:pos="5400"/>
              </w:tabs>
              <w:rPr>
                <w:rFonts w:hint="eastAsia"/>
                <w:color w:val="000000"/>
                <w:sz w:val="20"/>
                <w:lang w:eastAsia="zh-CN"/>
              </w:rPr>
            </w:pPr>
            <w:r>
              <w:rPr>
                <w:rFonts w:hint="eastAsia"/>
                <w:color w:val="000000"/>
                <w:sz w:val="20"/>
                <w:lang w:eastAsia="zh-CN"/>
              </w:rPr>
              <w:t>6</w:t>
            </w:r>
          </w:p>
        </w:tc>
        <w:tc>
          <w:tcPr>
            <w:tcW w:w="6892" w:type="dxa"/>
          </w:tcPr>
          <w:p w14:paraId="1ACDDE4D" w14:textId="3F64276A" w:rsidR="00191A23" w:rsidRPr="0022554A" w:rsidRDefault="00954CB8" w:rsidP="0022554A">
            <w:pPr>
              <w:tabs>
                <w:tab w:val="left" w:pos="5400"/>
              </w:tabs>
              <w:rPr>
                <w:color w:val="000000"/>
                <w:sz w:val="20"/>
              </w:rPr>
            </w:pPr>
            <w:r w:rsidRPr="00954CB8">
              <w:rPr>
                <w:iCs/>
                <w:sz w:val="20"/>
                <w:lang w:eastAsia="zh-CN"/>
              </w:rPr>
              <w:t>Specialized equipment and trained laboratory personnel are established in platelet function tests.</w:t>
            </w:r>
          </w:p>
        </w:tc>
      </w:tr>
      <w:tr w:rsidR="00191A23" w:rsidRPr="0022554A" w14:paraId="28A0EFF8" w14:textId="77777777" w:rsidTr="00E9548F">
        <w:tc>
          <w:tcPr>
            <w:tcW w:w="1951" w:type="dxa"/>
          </w:tcPr>
          <w:p w14:paraId="3B464D9E" w14:textId="77777777" w:rsidR="00191A23" w:rsidRPr="0022554A" w:rsidRDefault="00191A23" w:rsidP="0022554A">
            <w:pPr>
              <w:tabs>
                <w:tab w:val="left" w:pos="5400"/>
              </w:tabs>
              <w:rPr>
                <w:bCs/>
                <w:sz w:val="20"/>
              </w:rPr>
            </w:pPr>
            <w:bookmarkStart w:id="39" w:name="bold21" w:colFirst="0" w:colLast="0"/>
            <w:bookmarkStart w:id="40" w:name="italic21" w:colFirst="0" w:colLast="0"/>
            <w:bookmarkEnd w:id="37"/>
            <w:bookmarkEnd w:id="38"/>
            <w:r w:rsidRPr="0022554A">
              <w:rPr>
                <w:bCs/>
                <w:sz w:val="20"/>
              </w:rPr>
              <w:t>Study size</w:t>
            </w:r>
          </w:p>
        </w:tc>
        <w:tc>
          <w:tcPr>
            <w:tcW w:w="616" w:type="dxa"/>
          </w:tcPr>
          <w:p w14:paraId="131C6AD0" w14:textId="77777777" w:rsidR="00191A23" w:rsidRPr="0022554A" w:rsidRDefault="00191A23" w:rsidP="0022554A">
            <w:pPr>
              <w:tabs>
                <w:tab w:val="left" w:pos="5400"/>
              </w:tabs>
              <w:jc w:val="center"/>
              <w:rPr>
                <w:sz w:val="20"/>
              </w:rPr>
            </w:pPr>
            <w:r w:rsidRPr="0022554A">
              <w:rPr>
                <w:sz w:val="20"/>
              </w:rPr>
              <w:t>10</w:t>
            </w:r>
          </w:p>
        </w:tc>
        <w:tc>
          <w:tcPr>
            <w:tcW w:w="4903" w:type="dxa"/>
          </w:tcPr>
          <w:p w14:paraId="443A5AD2" w14:textId="77777777" w:rsidR="00191A23" w:rsidRPr="0022554A" w:rsidRDefault="00191A23" w:rsidP="0022554A">
            <w:pPr>
              <w:tabs>
                <w:tab w:val="left" w:pos="5400"/>
              </w:tabs>
              <w:rPr>
                <w:sz w:val="20"/>
              </w:rPr>
            </w:pPr>
            <w:r w:rsidRPr="0022554A">
              <w:rPr>
                <w:sz w:val="20"/>
              </w:rPr>
              <w:t>Explain how the study size was arrived at</w:t>
            </w:r>
          </w:p>
        </w:tc>
        <w:tc>
          <w:tcPr>
            <w:tcW w:w="630" w:type="dxa"/>
          </w:tcPr>
          <w:p w14:paraId="0DBAF90B" w14:textId="01496D73" w:rsidR="00191A23" w:rsidRPr="00C367B7" w:rsidRDefault="00954CB8" w:rsidP="0022554A">
            <w:pPr>
              <w:tabs>
                <w:tab w:val="left" w:pos="5400"/>
              </w:tabs>
              <w:rPr>
                <w:rFonts w:hint="eastAsia"/>
                <w:color w:val="000000" w:themeColor="text1"/>
                <w:sz w:val="20"/>
                <w:lang w:eastAsia="zh-CN"/>
              </w:rPr>
            </w:pPr>
            <w:r>
              <w:rPr>
                <w:rFonts w:hint="eastAsia"/>
                <w:color w:val="000000" w:themeColor="text1"/>
                <w:sz w:val="20"/>
                <w:lang w:eastAsia="zh-CN"/>
              </w:rPr>
              <w:t>8</w:t>
            </w:r>
            <w:r w:rsidR="00C367B7">
              <w:rPr>
                <w:color w:val="000000" w:themeColor="text1"/>
                <w:sz w:val="20"/>
              </w:rPr>
              <w:t>-</w:t>
            </w:r>
            <w:r>
              <w:rPr>
                <w:rFonts w:hint="eastAsia"/>
                <w:color w:val="000000" w:themeColor="text1"/>
                <w:sz w:val="20"/>
                <w:lang w:eastAsia="zh-CN"/>
              </w:rPr>
              <w:t>9</w:t>
            </w:r>
          </w:p>
        </w:tc>
        <w:tc>
          <w:tcPr>
            <w:tcW w:w="6892" w:type="dxa"/>
          </w:tcPr>
          <w:p w14:paraId="58F0CACD" w14:textId="278672A2" w:rsidR="00191A23" w:rsidRPr="00F16B39" w:rsidRDefault="00954CB8" w:rsidP="0022554A">
            <w:pPr>
              <w:tabs>
                <w:tab w:val="left" w:pos="5400"/>
              </w:tabs>
              <w:rPr>
                <w:color w:val="FF0000"/>
                <w:sz w:val="20"/>
              </w:rPr>
            </w:pPr>
            <w:r w:rsidRPr="00954CB8">
              <w:rPr>
                <w:color w:val="000000" w:themeColor="text1"/>
                <w:sz w:val="20"/>
              </w:rPr>
              <w:t>Sample size calculations were based on our pre-experiment in the early stage; the estimated net adverse clinical events (NACE) were 30% in the HPR group, 35% in the LPR group, and 20% in the NPR group. To achieve a PRI therapy window, at least 630 high-risk patients are required to detect the expected difference with an estimated power of 80% at a 2-sided alpha of 0.05. The percentage of missing values was less than 1% for all variables in the study. Missing values of categorical variables were attributed to their most common value, and continuous variables to the median of the non-missing values.</w:t>
            </w:r>
          </w:p>
        </w:tc>
      </w:tr>
    </w:tbl>
    <w:p w14:paraId="4122BA3C" w14:textId="77777777" w:rsidR="00191A23" w:rsidRDefault="00191A23">
      <w:bookmarkStart w:id="41" w:name="bold22"/>
      <w:bookmarkStart w:id="42" w:name="italic22"/>
      <w:bookmarkEnd w:id="39"/>
      <w:bookmarkEnd w:id="40"/>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5020"/>
        <w:gridCol w:w="839"/>
        <w:gridCol w:w="6863"/>
      </w:tblGrid>
      <w:tr w:rsidR="00191A23" w:rsidRPr="0022554A" w14:paraId="57945AD5" w14:textId="77777777" w:rsidTr="00BF394C">
        <w:tc>
          <w:tcPr>
            <w:tcW w:w="1521" w:type="dxa"/>
          </w:tcPr>
          <w:p w14:paraId="6C4F7207" w14:textId="77777777" w:rsidR="00191A23" w:rsidRPr="0022554A" w:rsidRDefault="00191A23" w:rsidP="00191A23">
            <w:pPr>
              <w:tabs>
                <w:tab w:val="left" w:pos="5400"/>
              </w:tabs>
              <w:rPr>
                <w:bCs/>
                <w:sz w:val="20"/>
              </w:rPr>
            </w:pPr>
            <w:r w:rsidRPr="0022554A">
              <w:rPr>
                <w:bCs/>
                <w:sz w:val="20"/>
              </w:rPr>
              <w:lastRenderedPageBreak/>
              <w:t>Quantitative</w:t>
            </w:r>
            <w:bookmarkStart w:id="43" w:name="bold23"/>
            <w:bookmarkStart w:id="44" w:name="italic23"/>
            <w:bookmarkEnd w:id="41"/>
            <w:bookmarkEnd w:id="42"/>
            <w:r w:rsidRPr="0022554A">
              <w:rPr>
                <w:bCs/>
                <w:sz w:val="20"/>
              </w:rPr>
              <w:t xml:space="preserve"> variables</w:t>
            </w:r>
            <w:bookmarkEnd w:id="43"/>
            <w:bookmarkEnd w:id="44"/>
          </w:p>
        </w:tc>
        <w:tc>
          <w:tcPr>
            <w:tcW w:w="749" w:type="dxa"/>
          </w:tcPr>
          <w:p w14:paraId="3ED65567" w14:textId="77777777" w:rsidR="00191A23" w:rsidRPr="0022554A" w:rsidRDefault="00191A23" w:rsidP="00191A23">
            <w:pPr>
              <w:tabs>
                <w:tab w:val="left" w:pos="5400"/>
              </w:tabs>
              <w:jc w:val="center"/>
              <w:rPr>
                <w:sz w:val="20"/>
              </w:rPr>
            </w:pPr>
            <w:r w:rsidRPr="0022554A">
              <w:rPr>
                <w:sz w:val="20"/>
              </w:rPr>
              <w:t>11</w:t>
            </w:r>
          </w:p>
        </w:tc>
        <w:tc>
          <w:tcPr>
            <w:tcW w:w="5020" w:type="dxa"/>
          </w:tcPr>
          <w:p w14:paraId="3F9728C2" w14:textId="77777777" w:rsidR="00191A23" w:rsidRPr="0022554A" w:rsidRDefault="00191A23" w:rsidP="00191A23">
            <w:pPr>
              <w:tabs>
                <w:tab w:val="left" w:pos="5400"/>
              </w:tabs>
              <w:rPr>
                <w:sz w:val="20"/>
              </w:rPr>
            </w:pPr>
            <w:r w:rsidRPr="0022554A">
              <w:rPr>
                <w:sz w:val="20"/>
              </w:rPr>
              <w:t xml:space="preserve">Explain how </w:t>
            </w:r>
            <w:bookmarkStart w:id="45" w:name="OLE_LINK63"/>
            <w:bookmarkStart w:id="46" w:name="OLE_LINK64"/>
            <w:r w:rsidRPr="0022554A">
              <w:rPr>
                <w:sz w:val="20"/>
              </w:rPr>
              <w:t xml:space="preserve">quantitative variables </w:t>
            </w:r>
            <w:bookmarkEnd w:id="45"/>
            <w:bookmarkEnd w:id="46"/>
            <w:r w:rsidRPr="0022554A">
              <w:rPr>
                <w:sz w:val="20"/>
              </w:rPr>
              <w:t>were handled in the analyses. If applicable, describe which groupings were chosen and why</w:t>
            </w:r>
          </w:p>
        </w:tc>
        <w:tc>
          <w:tcPr>
            <w:tcW w:w="838" w:type="dxa"/>
          </w:tcPr>
          <w:p w14:paraId="25037A3D" w14:textId="5349BF62" w:rsidR="00191A23" w:rsidRPr="0022554A" w:rsidRDefault="00954CB8" w:rsidP="00191A23">
            <w:pPr>
              <w:tabs>
                <w:tab w:val="left" w:pos="5400"/>
              </w:tabs>
              <w:rPr>
                <w:rFonts w:hint="eastAsia"/>
                <w:sz w:val="20"/>
                <w:lang w:eastAsia="zh-CN"/>
              </w:rPr>
            </w:pPr>
            <w:r>
              <w:rPr>
                <w:rFonts w:hint="eastAsia"/>
                <w:sz w:val="20"/>
                <w:lang w:eastAsia="zh-CN"/>
              </w:rPr>
              <w:t>8</w:t>
            </w:r>
          </w:p>
        </w:tc>
        <w:tc>
          <w:tcPr>
            <w:tcW w:w="6864" w:type="dxa"/>
          </w:tcPr>
          <w:p w14:paraId="11752EE2" w14:textId="77777777" w:rsidR="00191A23" w:rsidRPr="002A1946" w:rsidRDefault="00BF394C" w:rsidP="00191A23">
            <w:pPr>
              <w:tabs>
                <w:tab w:val="left" w:pos="5400"/>
              </w:tabs>
              <w:rPr>
                <w:sz w:val="20"/>
                <w:lang w:val="en-US" w:eastAsia="zh-CN"/>
              </w:rPr>
            </w:pPr>
            <w:r w:rsidRPr="00BF394C">
              <w:rPr>
                <w:sz w:val="20"/>
                <w:lang w:val="en-US" w:eastAsia="zh-CN"/>
              </w:rPr>
              <w:t>Continuous variables were summarized by means ± SD and median (interquartile range)</w:t>
            </w:r>
            <w:r>
              <w:rPr>
                <w:sz w:val="20"/>
                <w:lang w:val="en-US" w:eastAsia="zh-CN"/>
              </w:rPr>
              <w:t xml:space="preserve">. </w:t>
            </w:r>
            <w:r w:rsidRPr="00BF394C">
              <w:rPr>
                <w:sz w:val="20"/>
                <w:lang w:val="en-US" w:eastAsia="zh-CN"/>
              </w:rPr>
              <w:t>The normality of continuous data was assessed using the Shapiro-Wilks test and the Kolmogorov-Smirnov test. Continuous variables normally distributed were compared using an unpaired student’t-test, while non-normal variables were compared using the Mann-Whitney U-test.</w:t>
            </w:r>
          </w:p>
        </w:tc>
      </w:tr>
      <w:tr w:rsidR="00191A23" w:rsidRPr="0022554A" w14:paraId="69C7CDCC" w14:textId="77777777" w:rsidTr="00BF394C">
        <w:tc>
          <w:tcPr>
            <w:tcW w:w="1521" w:type="dxa"/>
            <w:vMerge w:val="restart"/>
          </w:tcPr>
          <w:p w14:paraId="716D8933" w14:textId="77777777" w:rsidR="00191A23" w:rsidRPr="0022554A" w:rsidRDefault="00191A23" w:rsidP="00191A23">
            <w:pPr>
              <w:tabs>
                <w:tab w:val="left" w:pos="5400"/>
              </w:tabs>
              <w:rPr>
                <w:sz w:val="20"/>
              </w:rPr>
            </w:pPr>
            <w:bookmarkStart w:id="47" w:name="italic24"/>
            <w:r w:rsidRPr="0022554A">
              <w:rPr>
                <w:sz w:val="20"/>
              </w:rPr>
              <w:t>Statistical</w:t>
            </w:r>
            <w:bookmarkStart w:id="48" w:name="italic25"/>
            <w:bookmarkEnd w:id="47"/>
            <w:r w:rsidRPr="0022554A">
              <w:rPr>
                <w:sz w:val="20"/>
              </w:rPr>
              <w:t xml:space="preserve"> methods</w:t>
            </w:r>
            <w:bookmarkEnd w:id="48"/>
          </w:p>
        </w:tc>
        <w:tc>
          <w:tcPr>
            <w:tcW w:w="749" w:type="dxa"/>
            <w:vMerge w:val="restart"/>
          </w:tcPr>
          <w:p w14:paraId="123551FB" w14:textId="77777777" w:rsidR="00191A23" w:rsidRPr="0022554A" w:rsidRDefault="00191A23" w:rsidP="00191A23">
            <w:pPr>
              <w:tabs>
                <w:tab w:val="left" w:pos="5400"/>
              </w:tabs>
              <w:jc w:val="center"/>
              <w:rPr>
                <w:sz w:val="20"/>
              </w:rPr>
            </w:pPr>
            <w:r w:rsidRPr="0022554A">
              <w:rPr>
                <w:sz w:val="20"/>
              </w:rPr>
              <w:t>12</w:t>
            </w:r>
          </w:p>
        </w:tc>
        <w:tc>
          <w:tcPr>
            <w:tcW w:w="5020" w:type="dxa"/>
          </w:tcPr>
          <w:p w14:paraId="2296C5C1"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838" w:type="dxa"/>
          </w:tcPr>
          <w:p w14:paraId="0D2D401A" w14:textId="58A20F6E" w:rsidR="00191A23" w:rsidRPr="0022554A" w:rsidRDefault="00954CB8" w:rsidP="00191A23">
            <w:pPr>
              <w:tabs>
                <w:tab w:val="left" w:pos="5400"/>
              </w:tabs>
              <w:rPr>
                <w:rFonts w:hint="eastAsia"/>
                <w:sz w:val="20"/>
                <w:lang w:eastAsia="zh-CN"/>
              </w:rPr>
            </w:pPr>
            <w:r>
              <w:rPr>
                <w:rFonts w:hint="eastAsia"/>
                <w:sz w:val="20"/>
                <w:lang w:eastAsia="zh-CN"/>
              </w:rPr>
              <w:t>8</w:t>
            </w:r>
          </w:p>
        </w:tc>
        <w:tc>
          <w:tcPr>
            <w:tcW w:w="6864" w:type="dxa"/>
          </w:tcPr>
          <w:p w14:paraId="1C00E7C2" w14:textId="3EA132E0" w:rsidR="00191A23" w:rsidRPr="0022554A" w:rsidRDefault="00954CB8" w:rsidP="00191A23">
            <w:pPr>
              <w:tabs>
                <w:tab w:val="left" w:pos="5400"/>
              </w:tabs>
              <w:rPr>
                <w:sz w:val="20"/>
              </w:rPr>
            </w:pPr>
            <w:r w:rsidRPr="00954CB8">
              <w:rPr>
                <w:sz w:val="20"/>
              </w:rPr>
              <w:t>Statistical analysis was performed using R (version 4.3.1)</w:t>
            </w:r>
          </w:p>
        </w:tc>
      </w:tr>
      <w:tr w:rsidR="00191A23" w:rsidRPr="0022554A" w14:paraId="2758F56F" w14:textId="77777777" w:rsidTr="00BF394C">
        <w:tc>
          <w:tcPr>
            <w:tcW w:w="1521" w:type="dxa"/>
            <w:vMerge/>
          </w:tcPr>
          <w:p w14:paraId="312F0086" w14:textId="77777777" w:rsidR="00191A23" w:rsidRPr="0022554A" w:rsidRDefault="00191A23" w:rsidP="00191A23">
            <w:pPr>
              <w:tabs>
                <w:tab w:val="left" w:pos="5400"/>
              </w:tabs>
              <w:rPr>
                <w:bCs/>
                <w:sz w:val="20"/>
              </w:rPr>
            </w:pPr>
            <w:bookmarkStart w:id="49" w:name="bold24" w:colFirst="0" w:colLast="0"/>
            <w:bookmarkStart w:id="50" w:name="italic26" w:colFirst="0" w:colLast="0"/>
          </w:p>
        </w:tc>
        <w:tc>
          <w:tcPr>
            <w:tcW w:w="749" w:type="dxa"/>
            <w:vMerge/>
          </w:tcPr>
          <w:p w14:paraId="7333E05B" w14:textId="77777777" w:rsidR="00191A23" w:rsidRPr="0022554A" w:rsidRDefault="00191A23" w:rsidP="00191A23">
            <w:pPr>
              <w:tabs>
                <w:tab w:val="left" w:pos="5400"/>
              </w:tabs>
              <w:jc w:val="center"/>
              <w:rPr>
                <w:sz w:val="20"/>
              </w:rPr>
            </w:pPr>
          </w:p>
        </w:tc>
        <w:tc>
          <w:tcPr>
            <w:tcW w:w="5020" w:type="dxa"/>
          </w:tcPr>
          <w:p w14:paraId="2832EE6F"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838" w:type="dxa"/>
          </w:tcPr>
          <w:p w14:paraId="44F1D70A" w14:textId="7C5ACC29" w:rsidR="00191A23" w:rsidRPr="0022554A" w:rsidRDefault="00954CB8" w:rsidP="00191A23">
            <w:pPr>
              <w:tabs>
                <w:tab w:val="left" w:pos="5400"/>
              </w:tabs>
              <w:rPr>
                <w:rFonts w:hint="eastAsia"/>
                <w:sz w:val="20"/>
                <w:lang w:eastAsia="zh-CN"/>
              </w:rPr>
            </w:pPr>
            <w:r>
              <w:rPr>
                <w:rFonts w:hint="eastAsia"/>
                <w:sz w:val="20"/>
                <w:lang w:eastAsia="zh-CN"/>
              </w:rPr>
              <w:t>8</w:t>
            </w:r>
          </w:p>
        </w:tc>
        <w:tc>
          <w:tcPr>
            <w:tcW w:w="6864" w:type="dxa"/>
          </w:tcPr>
          <w:p w14:paraId="0CD375C0" w14:textId="3BDDDCA5" w:rsidR="00191A23" w:rsidRPr="0022554A" w:rsidRDefault="00954CB8" w:rsidP="00191A23">
            <w:pPr>
              <w:tabs>
                <w:tab w:val="left" w:pos="5400"/>
              </w:tabs>
              <w:rPr>
                <w:sz w:val="20"/>
              </w:rPr>
            </w:pPr>
            <w:r w:rsidRPr="00954CB8">
              <w:rPr>
                <w:sz w:val="20"/>
              </w:rPr>
              <w:t>Dichotomous variables were presented as percentages, and the distribution equality between subgroups was assessed using the chi-squared test. Group differences were compared using the nonparametric Kruskal-Wallis test for nominal variables, while dichotomous variables were compared using x^2 tests. We used ROC curve analysis to determine the optimal threshold values for HPR and LPR by testing the relationship between VASP-PRI and events (ischemia and bleeding).The final model was developed using forward and backward logistic regression with an entry criterion of P&lt;0.2. Cox proportional hazards regression analyzed outcome predictors with relevant factors: cardiovascular medication, including statin treatment, severe left ventricular dysfunction, age, gender, acute coronary syndromes, diabetes mellitus, smoking, serum creatinine, severity of coronary artery disease, type of stents, and residual platelet aggregation categorized by tertiles. Variables were selected by forward and backward method with a P-value of&lt;0.05 as the entry criterion. Statistical analysis was performed using R (version 4.3.1).</w:t>
            </w:r>
          </w:p>
        </w:tc>
      </w:tr>
      <w:tr w:rsidR="00191A23" w:rsidRPr="0022554A" w14:paraId="41C48E06" w14:textId="77777777" w:rsidTr="00BF394C">
        <w:tc>
          <w:tcPr>
            <w:tcW w:w="1521" w:type="dxa"/>
            <w:vMerge/>
          </w:tcPr>
          <w:p w14:paraId="1ACC5D06" w14:textId="77777777" w:rsidR="00191A23" w:rsidRPr="0022554A" w:rsidRDefault="00191A23" w:rsidP="00191A23">
            <w:pPr>
              <w:tabs>
                <w:tab w:val="left" w:pos="5400"/>
              </w:tabs>
              <w:rPr>
                <w:bCs/>
                <w:sz w:val="20"/>
              </w:rPr>
            </w:pPr>
            <w:bookmarkStart w:id="51" w:name="bold25" w:colFirst="0" w:colLast="0"/>
            <w:bookmarkStart w:id="52" w:name="italic27" w:colFirst="0" w:colLast="0"/>
            <w:bookmarkEnd w:id="49"/>
            <w:bookmarkEnd w:id="50"/>
          </w:p>
        </w:tc>
        <w:tc>
          <w:tcPr>
            <w:tcW w:w="749" w:type="dxa"/>
            <w:vMerge/>
          </w:tcPr>
          <w:p w14:paraId="2D195D69" w14:textId="77777777" w:rsidR="00191A23" w:rsidRPr="0022554A" w:rsidRDefault="00191A23" w:rsidP="00191A23">
            <w:pPr>
              <w:tabs>
                <w:tab w:val="left" w:pos="5400"/>
              </w:tabs>
              <w:jc w:val="center"/>
              <w:rPr>
                <w:sz w:val="20"/>
              </w:rPr>
            </w:pPr>
          </w:p>
        </w:tc>
        <w:tc>
          <w:tcPr>
            <w:tcW w:w="5020" w:type="dxa"/>
          </w:tcPr>
          <w:p w14:paraId="412161C2"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xml:space="preserve">) </w:t>
            </w:r>
            <w:bookmarkStart w:id="53" w:name="OLE_LINK7"/>
            <w:r w:rsidRPr="0022554A">
              <w:rPr>
                <w:sz w:val="20"/>
              </w:rPr>
              <w:t>Explain how missing data were addressed</w:t>
            </w:r>
            <w:bookmarkEnd w:id="53"/>
          </w:p>
        </w:tc>
        <w:tc>
          <w:tcPr>
            <w:tcW w:w="838" w:type="dxa"/>
          </w:tcPr>
          <w:p w14:paraId="38B0166F" w14:textId="643F416E" w:rsidR="00191A23" w:rsidRPr="0022554A" w:rsidRDefault="00954CB8" w:rsidP="00191A23">
            <w:pPr>
              <w:tabs>
                <w:tab w:val="left" w:pos="5400"/>
              </w:tabs>
              <w:rPr>
                <w:rFonts w:hint="eastAsia"/>
                <w:sz w:val="20"/>
                <w:lang w:eastAsia="zh-CN"/>
              </w:rPr>
            </w:pPr>
            <w:r>
              <w:rPr>
                <w:rFonts w:hint="eastAsia"/>
                <w:sz w:val="20"/>
                <w:lang w:eastAsia="zh-CN"/>
              </w:rPr>
              <w:t>9</w:t>
            </w:r>
          </w:p>
        </w:tc>
        <w:tc>
          <w:tcPr>
            <w:tcW w:w="6864" w:type="dxa"/>
          </w:tcPr>
          <w:p w14:paraId="56597AB0" w14:textId="77777777" w:rsidR="00191A23" w:rsidRPr="0022554A" w:rsidRDefault="00BF394C" w:rsidP="00191A23">
            <w:pPr>
              <w:tabs>
                <w:tab w:val="left" w:pos="5400"/>
              </w:tabs>
              <w:rPr>
                <w:sz w:val="20"/>
              </w:rPr>
            </w:pPr>
            <w:r w:rsidRPr="00BF394C">
              <w:rPr>
                <w:sz w:val="20"/>
              </w:rPr>
              <w:t xml:space="preserve">Missing values of categorical variables were imputed to their most common value, and continuous variables to the median of the non-missing values.  </w:t>
            </w:r>
          </w:p>
        </w:tc>
      </w:tr>
      <w:tr w:rsidR="00191A23" w:rsidRPr="0022554A" w14:paraId="2CA88283" w14:textId="77777777" w:rsidTr="00BF394C">
        <w:tc>
          <w:tcPr>
            <w:tcW w:w="1521" w:type="dxa"/>
            <w:vMerge/>
          </w:tcPr>
          <w:p w14:paraId="2C895F16" w14:textId="77777777" w:rsidR="00191A23" w:rsidRPr="0022554A" w:rsidRDefault="00191A23" w:rsidP="00191A23">
            <w:pPr>
              <w:tabs>
                <w:tab w:val="left" w:pos="5400"/>
              </w:tabs>
              <w:rPr>
                <w:bCs/>
                <w:sz w:val="20"/>
              </w:rPr>
            </w:pPr>
            <w:bookmarkStart w:id="54" w:name="bold26" w:colFirst="0" w:colLast="0"/>
            <w:bookmarkStart w:id="55" w:name="italic28" w:colFirst="0" w:colLast="0"/>
            <w:bookmarkEnd w:id="51"/>
            <w:bookmarkEnd w:id="52"/>
          </w:p>
        </w:tc>
        <w:tc>
          <w:tcPr>
            <w:tcW w:w="749" w:type="dxa"/>
            <w:vMerge/>
          </w:tcPr>
          <w:p w14:paraId="2D119FD7" w14:textId="77777777" w:rsidR="00191A23" w:rsidRPr="0022554A" w:rsidRDefault="00191A23" w:rsidP="00191A23">
            <w:pPr>
              <w:tabs>
                <w:tab w:val="left" w:pos="5400"/>
              </w:tabs>
              <w:jc w:val="center"/>
              <w:rPr>
                <w:sz w:val="20"/>
              </w:rPr>
            </w:pPr>
          </w:p>
        </w:tc>
        <w:tc>
          <w:tcPr>
            <w:tcW w:w="5020" w:type="dxa"/>
          </w:tcPr>
          <w:p w14:paraId="182DD493"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 xml:space="preserve">—If applicable, </w:t>
            </w:r>
            <w:bookmarkStart w:id="56" w:name="OLE_LINK6"/>
            <w:r w:rsidRPr="0022554A">
              <w:rPr>
                <w:sz w:val="20"/>
              </w:rPr>
              <w:t>explain how loss to follow-up was addressed</w:t>
            </w:r>
            <w:bookmarkEnd w:id="56"/>
          </w:p>
          <w:p w14:paraId="3140BA3C"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1B35576E"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838" w:type="dxa"/>
          </w:tcPr>
          <w:p w14:paraId="6867E350" w14:textId="6564518F" w:rsidR="00191A23" w:rsidRPr="0022554A" w:rsidRDefault="00613AC2" w:rsidP="00191A23">
            <w:pPr>
              <w:tabs>
                <w:tab w:val="left" w:pos="5400"/>
              </w:tabs>
              <w:rPr>
                <w:rFonts w:hint="eastAsia"/>
                <w:sz w:val="20"/>
                <w:lang w:eastAsia="zh-CN"/>
              </w:rPr>
            </w:pPr>
            <w:r>
              <w:rPr>
                <w:rFonts w:hint="eastAsia"/>
                <w:sz w:val="20"/>
                <w:lang w:eastAsia="zh-CN"/>
              </w:rPr>
              <w:t>9</w:t>
            </w:r>
          </w:p>
        </w:tc>
        <w:tc>
          <w:tcPr>
            <w:tcW w:w="6864" w:type="dxa"/>
          </w:tcPr>
          <w:p w14:paraId="7488516C" w14:textId="77777777" w:rsidR="00191A23" w:rsidRPr="0022554A" w:rsidRDefault="00B52071" w:rsidP="00191A23">
            <w:pPr>
              <w:tabs>
                <w:tab w:val="left" w:pos="5400"/>
              </w:tabs>
              <w:rPr>
                <w:sz w:val="20"/>
              </w:rPr>
            </w:pPr>
            <w:r w:rsidRPr="00B52071">
              <w:rPr>
                <w:sz w:val="20"/>
              </w:rPr>
              <w:t>All patients completed a follow-up evaluation at the one-year mark, either in person or via phone.</w:t>
            </w:r>
          </w:p>
        </w:tc>
      </w:tr>
      <w:tr w:rsidR="00191A23" w:rsidRPr="0022554A" w14:paraId="7BEFDCA5" w14:textId="77777777" w:rsidTr="00BF394C">
        <w:tc>
          <w:tcPr>
            <w:tcW w:w="1521" w:type="dxa"/>
            <w:vMerge/>
          </w:tcPr>
          <w:p w14:paraId="57A3B32E" w14:textId="77777777" w:rsidR="00191A23" w:rsidRPr="0022554A" w:rsidRDefault="00191A23" w:rsidP="00191A23">
            <w:pPr>
              <w:tabs>
                <w:tab w:val="left" w:pos="5400"/>
              </w:tabs>
              <w:rPr>
                <w:bCs/>
                <w:sz w:val="20"/>
              </w:rPr>
            </w:pPr>
            <w:bookmarkStart w:id="57" w:name="bold27" w:colFirst="0" w:colLast="0"/>
            <w:bookmarkStart w:id="58" w:name="italic29" w:colFirst="0" w:colLast="0"/>
            <w:bookmarkEnd w:id="54"/>
            <w:bookmarkEnd w:id="55"/>
          </w:p>
        </w:tc>
        <w:tc>
          <w:tcPr>
            <w:tcW w:w="749" w:type="dxa"/>
            <w:vMerge/>
          </w:tcPr>
          <w:p w14:paraId="3E1DD283" w14:textId="77777777" w:rsidR="00191A23" w:rsidRPr="0022554A" w:rsidRDefault="00191A23" w:rsidP="00191A23">
            <w:pPr>
              <w:tabs>
                <w:tab w:val="left" w:pos="5400"/>
              </w:tabs>
              <w:jc w:val="center"/>
              <w:rPr>
                <w:sz w:val="20"/>
              </w:rPr>
            </w:pPr>
          </w:p>
        </w:tc>
        <w:tc>
          <w:tcPr>
            <w:tcW w:w="5020" w:type="dxa"/>
          </w:tcPr>
          <w:p w14:paraId="1921CD86"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xml:space="preserve">) </w:t>
            </w:r>
            <w:bookmarkStart w:id="59" w:name="OLE_LINK114"/>
            <w:r w:rsidRPr="0022554A">
              <w:rPr>
                <w:sz w:val="20"/>
              </w:rPr>
              <w:t>Describe any sensitivity analyses</w:t>
            </w:r>
            <w:bookmarkEnd w:id="59"/>
          </w:p>
        </w:tc>
        <w:tc>
          <w:tcPr>
            <w:tcW w:w="838" w:type="dxa"/>
          </w:tcPr>
          <w:p w14:paraId="40D650AA" w14:textId="137B608D" w:rsidR="00191A23" w:rsidRPr="0022554A" w:rsidRDefault="00613AC2" w:rsidP="00191A23">
            <w:pPr>
              <w:tabs>
                <w:tab w:val="left" w:pos="5400"/>
              </w:tabs>
              <w:rPr>
                <w:rFonts w:hint="eastAsia"/>
                <w:sz w:val="20"/>
                <w:lang w:eastAsia="zh-CN"/>
              </w:rPr>
            </w:pPr>
            <w:r>
              <w:rPr>
                <w:rFonts w:hint="eastAsia"/>
                <w:sz w:val="20"/>
                <w:lang w:eastAsia="zh-CN"/>
              </w:rPr>
              <w:t>8</w:t>
            </w:r>
          </w:p>
        </w:tc>
        <w:tc>
          <w:tcPr>
            <w:tcW w:w="6864" w:type="dxa"/>
          </w:tcPr>
          <w:p w14:paraId="78E1726E" w14:textId="51123EE3" w:rsidR="00191A23" w:rsidRPr="0022554A" w:rsidRDefault="00613AC2" w:rsidP="00191A23">
            <w:pPr>
              <w:tabs>
                <w:tab w:val="left" w:pos="5400"/>
              </w:tabs>
              <w:rPr>
                <w:sz w:val="20"/>
                <w:lang w:eastAsia="zh-CN"/>
              </w:rPr>
            </w:pPr>
            <w:r w:rsidRPr="00613AC2">
              <w:rPr>
                <w:sz w:val="20"/>
              </w:rPr>
              <w:t>The final model was developed using forward and backward logistic regression with an entry criterion of P&lt;0.2. Cox proportional hazards regression analyzed outcome predictors with relevant factors: cardiovascular medication, including statin treatment, severe left ventricular dysfunction, age, gender, acute coronary syndromes, diabetes mellitus, smoking, serum creatinine, severity of coronary artery disease, type of stents, and residual platelet aggregation categorized by tertiles. Variables were selected by forward and backward method with a P-value of&lt;0.05 as the entry criterion.</w:t>
            </w:r>
          </w:p>
        </w:tc>
      </w:tr>
      <w:bookmarkEnd w:id="57"/>
      <w:bookmarkEnd w:id="58"/>
      <w:tr w:rsidR="00191A23" w:rsidRPr="0022554A" w14:paraId="1884BDD0" w14:textId="77777777" w:rsidTr="00191A23">
        <w:tc>
          <w:tcPr>
            <w:tcW w:w="14992" w:type="dxa"/>
            <w:gridSpan w:val="5"/>
          </w:tcPr>
          <w:p w14:paraId="3BF09B5B"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49B9948A" w14:textId="77777777" w:rsidTr="00BF394C">
        <w:tc>
          <w:tcPr>
            <w:tcW w:w="0" w:type="auto"/>
            <w:vMerge w:val="restart"/>
          </w:tcPr>
          <w:p w14:paraId="3772A08A" w14:textId="77777777" w:rsidR="00191A23" w:rsidRPr="0022554A" w:rsidRDefault="00191A23" w:rsidP="00191A23">
            <w:pPr>
              <w:tabs>
                <w:tab w:val="left" w:pos="5400"/>
              </w:tabs>
              <w:rPr>
                <w:bCs/>
                <w:sz w:val="20"/>
              </w:rPr>
            </w:pPr>
            <w:bookmarkStart w:id="60" w:name="bold29"/>
            <w:bookmarkStart w:id="61" w:name="italic31"/>
            <w:r w:rsidRPr="0022554A">
              <w:rPr>
                <w:bCs/>
                <w:sz w:val="20"/>
              </w:rPr>
              <w:t>Participants</w:t>
            </w:r>
            <w:bookmarkEnd w:id="60"/>
            <w:bookmarkEnd w:id="61"/>
          </w:p>
        </w:tc>
        <w:tc>
          <w:tcPr>
            <w:tcW w:w="0" w:type="auto"/>
            <w:vMerge w:val="restart"/>
          </w:tcPr>
          <w:p w14:paraId="4385AF04" w14:textId="77777777" w:rsidR="00191A23" w:rsidRPr="0022554A" w:rsidRDefault="00191A23" w:rsidP="00191A23">
            <w:pPr>
              <w:tabs>
                <w:tab w:val="left" w:pos="5400"/>
              </w:tabs>
              <w:jc w:val="center"/>
              <w:rPr>
                <w:sz w:val="20"/>
              </w:rPr>
            </w:pPr>
            <w:r w:rsidRPr="0022554A">
              <w:rPr>
                <w:sz w:val="20"/>
              </w:rPr>
              <w:t>13</w:t>
            </w:r>
            <w:bookmarkStart w:id="62" w:name="bold30"/>
            <w:r w:rsidRPr="0022554A">
              <w:rPr>
                <w:bCs/>
                <w:sz w:val="20"/>
              </w:rPr>
              <w:t>*</w:t>
            </w:r>
            <w:bookmarkEnd w:id="62"/>
          </w:p>
        </w:tc>
        <w:tc>
          <w:tcPr>
            <w:tcW w:w="5020" w:type="dxa"/>
          </w:tcPr>
          <w:p w14:paraId="7A9800F8"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838" w:type="dxa"/>
          </w:tcPr>
          <w:p w14:paraId="346A261A" w14:textId="16D84D8D" w:rsidR="00191A23" w:rsidRDefault="00613AC2" w:rsidP="00191A23">
            <w:pPr>
              <w:tabs>
                <w:tab w:val="left" w:pos="5400"/>
              </w:tabs>
              <w:rPr>
                <w:rFonts w:hint="eastAsia"/>
                <w:sz w:val="20"/>
                <w:lang w:eastAsia="zh-CN"/>
              </w:rPr>
            </w:pPr>
            <w:r>
              <w:rPr>
                <w:rFonts w:hint="eastAsia"/>
                <w:sz w:val="20"/>
                <w:lang w:eastAsia="zh-CN"/>
              </w:rPr>
              <w:t>9</w:t>
            </w:r>
          </w:p>
        </w:tc>
        <w:tc>
          <w:tcPr>
            <w:tcW w:w="6864" w:type="dxa"/>
          </w:tcPr>
          <w:p w14:paraId="67447E99" w14:textId="74D5E81B" w:rsidR="00191A23" w:rsidRDefault="004B036F" w:rsidP="00191A23">
            <w:pPr>
              <w:tabs>
                <w:tab w:val="left" w:pos="5400"/>
              </w:tabs>
              <w:rPr>
                <w:sz w:val="20"/>
              </w:rPr>
            </w:pPr>
            <w:r w:rsidRPr="004B036F">
              <w:rPr>
                <w:sz w:val="20"/>
              </w:rPr>
              <w:t>From September 1, 2015, through September 1, 2017, a total of 1892 post-PCI patients were screened, 1451 patients met the entry and discharge criteria of the experimental design scheme, and 1012 completed the collection of relevant clinical and laboratory data. According to the High-risk criteria, 860 patients who were at high risk for bleeding or ischemic events were finally enrolled. Among the high-risk patients, no patients were lost to follow-up</w:t>
            </w:r>
          </w:p>
        </w:tc>
      </w:tr>
      <w:tr w:rsidR="00191A23" w:rsidRPr="0022554A" w14:paraId="57A8E68A" w14:textId="77777777" w:rsidTr="00BF394C">
        <w:tc>
          <w:tcPr>
            <w:tcW w:w="0" w:type="auto"/>
            <w:vMerge/>
          </w:tcPr>
          <w:p w14:paraId="6F844D9E" w14:textId="77777777" w:rsidR="00191A23" w:rsidRPr="0022554A" w:rsidRDefault="00191A23" w:rsidP="00191A23">
            <w:pPr>
              <w:tabs>
                <w:tab w:val="left" w:pos="5400"/>
              </w:tabs>
              <w:rPr>
                <w:bCs/>
                <w:sz w:val="20"/>
              </w:rPr>
            </w:pPr>
            <w:bookmarkStart w:id="63" w:name="bold31" w:colFirst="0" w:colLast="0"/>
            <w:bookmarkStart w:id="64" w:name="italic32" w:colFirst="0" w:colLast="0"/>
          </w:p>
        </w:tc>
        <w:tc>
          <w:tcPr>
            <w:tcW w:w="0" w:type="auto"/>
            <w:vMerge/>
          </w:tcPr>
          <w:p w14:paraId="41A29E49" w14:textId="77777777" w:rsidR="00191A23" w:rsidRPr="0022554A" w:rsidRDefault="00191A23" w:rsidP="00191A23">
            <w:pPr>
              <w:tabs>
                <w:tab w:val="left" w:pos="5400"/>
              </w:tabs>
              <w:jc w:val="center"/>
              <w:rPr>
                <w:sz w:val="20"/>
              </w:rPr>
            </w:pPr>
          </w:p>
        </w:tc>
        <w:tc>
          <w:tcPr>
            <w:tcW w:w="5020" w:type="dxa"/>
          </w:tcPr>
          <w:p w14:paraId="169F21FA"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838" w:type="dxa"/>
          </w:tcPr>
          <w:p w14:paraId="71E723EC" w14:textId="77777777" w:rsidR="00191A23" w:rsidRDefault="00B52071" w:rsidP="00191A23">
            <w:pPr>
              <w:tabs>
                <w:tab w:val="left" w:pos="5400"/>
              </w:tabs>
              <w:rPr>
                <w:sz w:val="20"/>
              </w:rPr>
            </w:pPr>
            <w:r>
              <w:rPr>
                <w:sz w:val="20"/>
              </w:rPr>
              <w:t>Figure1</w:t>
            </w:r>
          </w:p>
        </w:tc>
        <w:tc>
          <w:tcPr>
            <w:tcW w:w="6864" w:type="dxa"/>
          </w:tcPr>
          <w:p w14:paraId="4B5A061A" w14:textId="239B651D" w:rsidR="00191A23" w:rsidRDefault="005B6E48" w:rsidP="00191A23">
            <w:pPr>
              <w:tabs>
                <w:tab w:val="left" w:pos="5400"/>
              </w:tabs>
              <w:rPr>
                <w:sz w:val="20"/>
                <w:lang w:eastAsia="zh-CN"/>
              </w:rPr>
            </w:pPr>
            <w:r w:rsidRPr="004B036F">
              <w:rPr>
                <w:sz w:val="20"/>
              </w:rPr>
              <w:t>860 patients who were at high risk for bleeding or ischemic events were finally enrolled</w:t>
            </w:r>
          </w:p>
        </w:tc>
      </w:tr>
      <w:tr w:rsidR="00FE4F4E" w:rsidRPr="0022554A" w14:paraId="29BEF67A" w14:textId="77777777" w:rsidTr="00BF394C">
        <w:tc>
          <w:tcPr>
            <w:tcW w:w="0" w:type="auto"/>
            <w:vMerge/>
          </w:tcPr>
          <w:p w14:paraId="05A126D6" w14:textId="77777777" w:rsidR="00FE4F4E" w:rsidRPr="0022554A" w:rsidRDefault="00FE4F4E" w:rsidP="00FE4F4E">
            <w:pPr>
              <w:tabs>
                <w:tab w:val="left" w:pos="5400"/>
              </w:tabs>
              <w:rPr>
                <w:bCs/>
                <w:sz w:val="20"/>
              </w:rPr>
            </w:pPr>
            <w:bookmarkStart w:id="65" w:name="bold32" w:colFirst="0" w:colLast="0"/>
            <w:bookmarkStart w:id="66" w:name="italic33" w:colFirst="0" w:colLast="0"/>
            <w:bookmarkEnd w:id="63"/>
            <w:bookmarkEnd w:id="64"/>
          </w:p>
        </w:tc>
        <w:tc>
          <w:tcPr>
            <w:tcW w:w="0" w:type="auto"/>
            <w:vMerge/>
          </w:tcPr>
          <w:p w14:paraId="125B8609" w14:textId="77777777" w:rsidR="00FE4F4E" w:rsidRPr="0022554A" w:rsidRDefault="00FE4F4E" w:rsidP="00FE4F4E">
            <w:pPr>
              <w:tabs>
                <w:tab w:val="left" w:pos="5400"/>
              </w:tabs>
              <w:jc w:val="center"/>
              <w:rPr>
                <w:sz w:val="20"/>
              </w:rPr>
            </w:pPr>
          </w:p>
        </w:tc>
        <w:tc>
          <w:tcPr>
            <w:tcW w:w="5020" w:type="dxa"/>
          </w:tcPr>
          <w:p w14:paraId="5C31B3C7" w14:textId="77777777" w:rsidR="00FE4F4E" w:rsidRPr="0022554A" w:rsidRDefault="00FE4F4E" w:rsidP="00FE4F4E">
            <w:pPr>
              <w:tabs>
                <w:tab w:val="left" w:pos="5400"/>
              </w:tabs>
              <w:rPr>
                <w:sz w:val="20"/>
              </w:rPr>
            </w:pPr>
            <w:bookmarkStart w:id="67" w:name="OLE_LINK4"/>
            <w:r>
              <w:rPr>
                <w:sz w:val="20"/>
              </w:rPr>
              <w:t xml:space="preserve">(c) </w:t>
            </w:r>
            <w:r w:rsidRPr="0022554A">
              <w:rPr>
                <w:sz w:val="20"/>
              </w:rPr>
              <w:t>Consider use of a flow diagram</w:t>
            </w:r>
            <w:bookmarkEnd w:id="67"/>
          </w:p>
        </w:tc>
        <w:tc>
          <w:tcPr>
            <w:tcW w:w="838" w:type="dxa"/>
          </w:tcPr>
          <w:p w14:paraId="79CAAF15" w14:textId="77777777" w:rsidR="00FE4F4E" w:rsidRDefault="00FE4F4E" w:rsidP="00FE4F4E">
            <w:pPr>
              <w:tabs>
                <w:tab w:val="left" w:pos="5400"/>
              </w:tabs>
              <w:rPr>
                <w:sz w:val="20"/>
              </w:rPr>
            </w:pPr>
            <w:bookmarkStart w:id="68" w:name="OLE_LINK118"/>
            <w:r>
              <w:rPr>
                <w:sz w:val="20"/>
              </w:rPr>
              <w:t>Figure1</w:t>
            </w:r>
            <w:bookmarkEnd w:id="68"/>
          </w:p>
        </w:tc>
        <w:tc>
          <w:tcPr>
            <w:tcW w:w="6864" w:type="dxa"/>
          </w:tcPr>
          <w:p w14:paraId="6FABB801" w14:textId="77777777" w:rsidR="00FE4F4E" w:rsidRDefault="00FE4F4E" w:rsidP="00FE4F4E">
            <w:pPr>
              <w:tabs>
                <w:tab w:val="left" w:pos="5400"/>
              </w:tabs>
              <w:rPr>
                <w:sz w:val="20"/>
              </w:rPr>
            </w:pPr>
          </w:p>
        </w:tc>
      </w:tr>
      <w:tr w:rsidR="00FE4F4E" w:rsidRPr="0022554A" w14:paraId="1749E6B5" w14:textId="77777777" w:rsidTr="00BF394C">
        <w:tc>
          <w:tcPr>
            <w:tcW w:w="0" w:type="auto"/>
            <w:vMerge w:val="restart"/>
          </w:tcPr>
          <w:p w14:paraId="1E026064" w14:textId="77777777" w:rsidR="00FE4F4E" w:rsidRPr="0022554A" w:rsidRDefault="00FE4F4E" w:rsidP="00FE4F4E">
            <w:pPr>
              <w:tabs>
                <w:tab w:val="left" w:pos="5400"/>
              </w:tabs>
              <w:rPr>
                <w:bCs/>
                <w:sz w:val="20"/>
              </w:rPr>
            </w:pPr>
            <w:bookmarkStart w:id="69" w:name="bold33"/>
            <w:bookmarkStart w:id="70" w:name="italic34"/>
            <w:bookmarkEnd w:id="65"/>
            <w:bookmarkEnd w:id="66"/>
            <w:r w:rsidRPr="0022554A">
              <w:rPr>
                <w:bCs/>
                <w:sz w:val="20"/>
              </w:rPr>
              <w:t xml:space="preserve">Descriptive </w:t>
            </w:r>
            <w:bookmarkStart w:id="71" w:name="bold34"/>
            <w:bookmarkStart w:id="72" w:name="italic35"/>
            <w:bookmarkEnd w:id="69"/>
            <w:bookmarkEnd w:id="70"/>
            <w:r w:rsidRPr="0022554A">
              <w:rPr>
                <w:bCs/>
                <w:sz w:val="20"/>
              </w:rPr>
              <w:t>data</w:t>
            </w:r>
            <w:bookmarkEnd w:id="71"/>
            <w:bookmarkEnd w:id="72"/>
          </w:p>
        </w:tc>
        <w:tc>
          <w:tcPr>
            <w:tcW w:w="0" w:type="auto"/>
            <w:vMerge w:val="restart"/>
          </w:tcPr>
          <w:p w14:paraId="5C38AD66" w14:textId="77777777" w:rsidR="00FE4F4E" w:rsidRPr="0022554A" w:rsidRDefault="00FE4F4E" w:rsidP="00FE4F4E">
            <w:pPr>
              <w:tabs>
                <w:tab w:val="left" w:pos="5400"/>
              </w:tabs>
              <w:jc w:val="center"/>
              <w:rPr>
                <w:sz w:val="20"/>
              </w:rPr>
            </w:pPr>
            <w:r w:rsidRPr="0022554A">
              <w:rPr>
                <w:sz w:val="20"/>
              </w:rPr>
              <w:t>14</w:t>
            </w:r>
            <w:bookmarkStart w:id="73" w:name="bold35"/>
            <w:r w:rsidRPr="0022554A">
              <w:rPr>
                <w:bCs/>
                <w:sz w:val="20"/>
              </w:rPr>
              <w:t>*</w:t>
            </w:r>
            <w:bookmarkEnd w:id="73"/>
          </w:p>
        </w:tc>
        <w:tc>
          <w:tcPr>
            <w:tcW w:w="5020" w:type="dxa"/>
          </w:tcPr>
          <w:p w14:paraId="0561106E" w14:textId="77777777" w:rsidR="00FE4F4E" w:rsidRPr="0022554A" w:rsidRDefault="00FE4F4E" w:rsidP="00FE4F4E">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838" w:type="dxa"/>
          </w:tcPr>
          <w:p w14:paraId="77BFEE6D" w14:textId="440EE0A2" w:rsidR="00FE4F4E" w:rsidRDefault="001639B6" w:rsidP="00FE4F4E">
            <w:pPr>
              <w:tabs>
                <w:tab w:val="left" w:pos="5400"/>
              </w:tabs>
              <w:rPr>
                <w:rFonts w:hint="eastAsia"/>
                <w:sz w:val="20"/>
                <w:lang w:eastAsia="zh-CN"/>
              </w:rPr>
            </w:pPr>
            <w:r>
              <w:rPr>
                <w:rFonts w:hint="eastAsia"/>
                <w:sz w:val="20"/>
                <w:lang w:eastAsia="zh-CN"/>
              </w:rPr>
              <w:t>9 and Table1</w:t>
            </w:r>
          </w:p>
        </w:tc>
        <w:tc>
          <w:tcPr>
            <w:tcW w:w="6864" w:type="dxa"/>
          </w:tcPr>
          <w:p w14:paraId="192ABAB8" w14:textId="03BE6E24" w:rsidR="00FE4F4E" w:rsidRDefault="00B52071" w:rsidP="00FE4F4E">
            <w:pPr>
              <w:tabs>
                <w:tab w:val="left" w:pos="5400"/>
              </w:tabs>
              <w:rPr>
                <w:sz w:val="20"/>
              </w:rPr>
            </w:pPr>
            <w:r w:rsidRPr="00B52071">
              <w:rPr>
                <w:sz w:val="20"/>
              </w:rPr>
              <w:t xml:space="preserve">the baseline clinical characteristics stratified by </w:t>
            </w:r>
            <w:r w:rsidR="005B6E48">
              <w:rPr>
                <w:rFonts w:hint="eastAsia"/>
                <w:sz w:val="20"/>
                <w:lang w:eastAsia="zh-CN"/>
              </w:rPr>
              <w:t>PRI</w:t>
            </w:r>
            <w:r w:rsidRPr="00B52071">
              <w:rPr>
                <w:rFonts w:hint="eastAsia"/>
                <w:sz w:val="20"/>
                <w:lang w:eastAsia="zh-CN"/>
              </w:rPr>
              <w:t>,</w:t>
            </w:r>
            <w:r w:rsidRPr="00B52071">
              <w:rPr>
                <w:sz w:val="20"/>
              </w:rPr>
              <w:t xml:space="preserve"> including patient demographics,  clinical, biochemical, angiographic, and procedural variables.</w:t>
            </w:r>
          </w:p>
        </w:tc>
      </w:tr>
      <w:tr w:rsidR="00FE4F4E" w:rsidRPr="0022554A" w14:paraId="7BF5E5E8" w14:textId="77777777" w:rsidTr="00BF394C">
        <w:tc>
          <w:tcPr>
            <w:tcW w:w="0" w:type="auto"/>
            <w:vMerge/>
          </w:tcPr>
          <w:p w14:paraId="09247AA2" w14:textId="77777777" w:rsidR="00FE4F4E" w:rsidRPr="0022554A" w:rsidRDefault="00FE4F4E" w:rsidP="00FE4F4E">
            <w:pPr>
              <w:tabs>
                <w:tab w:val="left" w:pos="5400"/>
              </w:tabs>
              <w:rPr>
                <w:bCs/>
                <w:sz w:val="20"/>
              </w:rPr>
            </w:pPr>
            <w:bookmarkStart w:id="74" w:name="bold36" w:colFirst="0" w:colLast="0"/>
            <w:bookmarkStart w:id="75" w:name="italic36" w:colFirst="0" w:colLast="0"/>
          </w:p>
        </w:tc>
        <w:tc>
          <w:tcPr>
            <w:tcW w:w="0" w:type="auto"/>
            <w:vMerge/>
          </w:tcPr>
          <w:p w14:paraId="57815A43" w14:textId="77777777" w:rsidR="00FE4F4E" w:rsidRPr="0022554A" w:rsidRDefault="00FE4F4E" w:rsidP="00FE4F4E">
            <w:pPr>
              <w:tabs>
                <w:tab w:val="left" w:pos="5400"/>
              </w:tabs>
              <w:jc w:val="center"/>
              <w:rPr>
                <w:sz w:val="20"/>
              </w:rPr>
            </w:pPr>
          </w:p>
        </w:tc>
        <w:tc>
          <w:tcPr>
            <w:tcW w:w="5020" w:type="dxa"/>
          </w:tcPr>
          <w:p w14:paraId="1870AC23" w14:textId="77777777" w:rsidR="00FE4F4E" w:rsidRPr="0022554A" w:rsidRDefault="00FE4F4E" w:rsidP="00FE4F4E">
            <w:pPr>
              <w:tabs>
                <w:tab w:val="left" w:pos="5400"/>
              </w:tabs>
              <w:rPr>
                <w:sz w:val="20"/>
              </w:rPr>
            </w:pPr>
            <w:r>
              <w:rPr>
                <w:sz w:val="20"/>
              </w:rPr>
              <w:t xml:space="preserve">(b) </w:t>
            </w:r>
            <w:r w:rsidRPr="0022554A">
              <w:rPr>
                <w:sz w:val="20"/>
              </w:rPr>
              <w:t>Indicate number of participants with missing data for each variable of interest</w:t>
            </w:r>
          </w:p>
        </w:tc>
        <w:tc>
          <w:tcPr>
            <w:tcW w:w="838" w:type="dxa"/>
          </w:tcPr>
          <w:p w14:paraId="35886E7E" w14:textId="0529FB36" w:rsidR="00FE4F4E" w:rsidRDefault="001639B6" w:rsidP="00FE4F4E">
            <w:pPr>
              <w:tabs>
                <w:tab w:val="left" w:pos="5400"/>
              </w:tabs>
              <w:rPr>
                <w:rFonts w:hint="eastAsia"/>
                <w:sz w:val="20"/>
                <w:lang w:eastAsia="zh-CN"/>
              </w:rPr>
            </w:pPr>
            <w:r>
              <w:rPr>
                <w:rFonts w:hint="eastAsia"/>
                <w:sz w:val="20"/>
                <w:lang w:eastAsia="zh-CN"/>
              </w:rPr>
              <w:t>9</w:t>
            </w:r>
          </w:p>
        </w:tc>
        <w:tc>
          <w:tcPr>
            <w:tcW w:w="6864" w:type="dxa"/>
          </w:tcPr>
          <w:p w14:paraId="4E039EF4" w14:textId="77777777" w:rsidR="00FE4F4E" w:rsidRDefault="00B52071" w:rsidP="00FE4F4E">
            <w:pPr>
              <w:tabs>
                <w:tab w:val="left" w:pos="5400"/>
              </w:tabs>
              <w:rPr>
                <w:sz w:val="20"/>
              </w:rPr>
            </w:pPr>
            <w:r w:rsidRPr="00B52071">
              <w:rPr>
                <w:sz w:val="20"/>
              </w:rPr>
              <w:t xml:space="preserve">The percentage of missing values was less than 1% for all variables in the study. Missing values of categorical variables were imputed to their most common value, and continuous variables to the median of the non-missing values.  </w:t>
            </w:r>
          </w:p>
        </w:tc>
      </w:tr>
      <w:tr w:rsidR="00FE4F4E" w:rsidRPr="0022554A" w14:paraId="554E006E" w14:textId="77777777" w:rsidTr="00BF394C">
        <w:tc>
          <w:tcPr>
            <w:tcW w:w="0" w:type="auto"/>
            <w:vMerge/>
          </w:tcPr>
          <w:p w14:paraId="2381EB5F" w14:textId="77777777" w:rsidR="00FE4F4E" w:rsidRPr="0022554A" w:rsidRDefault="00FE4F4E" w:rsidP="00FE4F4E">
            <w:pPr>
              <w:tabs>
                <w:tab w:val="left" w:pos="5400"/>
              </w:tabs>
              <w:rPr>
                <w:bCs/>
                <w:sz w:val="20"/>
              </w:rPr>
            </w:pPr>
            <w:bookmarkStart w:id="76" w:name="bold37" w:colFirst="0" w:colLast="0"/>
            <w:bookmarkStart w:id="77" w:name="italic37" w:colFirst="0" w:colLast="0"/>
            <w:bookmarkEnd w:id="74"/>
            <w:bookmarkEnd w:id="75"/>
          </w:p>
        </w:tc>
        <w:tc>
          <w:tcPr>
            <w:tcW w:w="0" w:type="auto"/>
            <w:vMerge/>
          </w:tcPr>
          <w:p w14:paraId="4A2F592D" w14:textId="77777777" w:rsidR="00FE4F4E" w:rsidRPr="0022554A" w:rsidRDefault="00FE4F4E" w:rsidP="00FE4F4E">
            <w:pPr>
              <w:tabs>
                <w:tab w:val="left" w:pos="5400"/>
              </w:tabs>
              <w:jc w:val="center"/>
              <w:rPr>
                <w:sz w:val="20"/>
              </w:rPr>
            </w:pPr>
          </w:p>
        </w:tc>
        <w:tc>
          <w:tcPr>
            <w:tcW w:w="5020" w:type="dxa"/>
          </w:tcPr>
          <w:p w14:paraId="157CFFFF" w14:textId="77777777" w:rsidR="00FE4F4E" w:rsidRPr="0022554A" w:rsidRDefault="00FE4F4E" w:rsidP="00FE4F4E">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838" w:type="dxa"/>
          </w:tcPr>
          <w:p w14:paraId="77759BA5" w14:textId="572531FD" w:rsidR="00FE4F4E" w:rsidRDefault="001639B6" w:rsidP="00FE4F4E">
            <w:pPr>
              <w:tabs>
                <w:tab w:val="left" w:pos="5400"/>
              </w:tabs>
              <w:rPr>
                <w:rFonts w:hint="eastAsia"/>
                <w:sz w:val="20"/>
                <w:lang w:eastAsia="zh-CN"/>
              </w:rPr>
            </w:pPr>
            <w:r>
              <w:rPr>
                <w:rFonts w:hint="eastAsia"/>
                <w:sz w:val="20"/>
                <w:lang w:eastAsia="zh-CN"/>
              </w:rPr>
              <w:t>9</w:t>
            </w:r>
          </w:p>
        </w:tc>
        <w:tc>
          <w:tcPr>
            <w:tcW w:w="6864" w:type="dxa"/>
          </w:tcPr>
          <w:p w14:paraId="75E10A1D" w14:textId="77777777" w:rsidR="00FE4F4E" w:rsidRDefault="00B52071" w:rsidP="00FE4F4E">
            <w:pPr>
              <w:tabs>
                <w:tab w:val="left" w:pos="5400"/>
              </w:tabs>
              <w:rPr>
                <w:sz w:val="20"/>
              </w:rPr>
            </w:pPr>
            <w:r w:rsidRPr="00B52071">
              <w:rPr>
                <w:sz w:val="20"/>
              </w:rPr>
              <w:t xml:space="preserve">All patients completed a follow-up evaluation at the </w:t>
            </w:r>
            <w:r>
              <w:rPr>
                <w:sz w:val="20"/>
              </w:rPr>
              <w:t>1</w:t>
            </w:r>
            <w:r w:rsidRPr="00B52071">
              <w:rPr>
                <w:sz w:val="20"/>
              </w:rPr>
              <w:t>-year mark</w:t>
            </w:r>
          </w:p>
        </w:tc>
      </w:tr>
      <w:tr w:rsidR="00FE4F4E" w:rsidRPr="00B52071" w14:paraId="0EEA635A" w14:textId="77777777" w:rsidTr="00BF394C">
        <w:trPr>
          <w:trHeight w:val="295"/>
        </w:trPr>
        <w:tc>
          <w:tcPr>
            <w:tcW w:w="0" w:type="auto"/>
            <w:vMerge w:val="restart"/>
          </w:tcPr>
          <w:p w14:paraId="2C736C94" w14:textId="77777777" w:rsidR="00FE4F4E" w:rsidRPr="0022554A" w:rsidRDefault="00FE4F4E" w:rsidP="00FE4F4E">
            <w:pPr>
              <w:tabs>
                <w:tab w:val="left" w:pos="5400"/>
              </w:tabs>
              <w:rPr>
                <w:bCs/>
                <w:sz w:val="20"/>
              </w:rPr>
            </w:pPr>
            <w:bookmarkStart w:id="78" w:name="bold38" w:colFirst="0" w:colLast="0"/>
            <w:bookmarkStart w:id="79" w:name="italic38" w:colFirst="0" w:colLast="0"/>
            <w:bookmarkEnd w:id="76"/>
            <w:bookmarkEnd w:id="77"/>
            <w:r w:rsidRPr="0022554A">
              <w:rPr>
                <w:bCs/>
                <w:sz w:val="20"/>
              </w:rPr>
              <w:t>Outcome data</w:t>
            </w:r>
          </w:p>
        </w:tc>
        <w:tc>
          <w:tcPr>
            <w:tcW w:w="0" w:type="auto"/>
            <w:vMerge w:val="restart"/>
          </w:tcPr>
          <w:p w14:paraId="631943D4" w14:textId="77777777" w:rsidR="00FE4F4E" w:rsidRPr="0022554A" w:rsidRDefault="00FE4F4E" w:rsidP="00FE4F4E">
            <w:pPr>
              <w:tabs>
                <w:tab w:val="left" w:pos="5400"/>
              </w:tabs>
              <w:jc w:val="center"/>
              <w:rPr>
                <w:sz w:val="20"/>
              </w:rPr>
            </w:pPr>
            <w:r w:rsidRPr="0022554A">
              <w:rPr>
                <w:sz w:val="20"/>
              </w:rPr>
              <w:t>15</w:t>
            </w:r>
            <w:bookmarkStart w:id="80" w:name="bold39"/>
            <w:r w:rsidRPr="0022554A">
              <w:rPr>
                <w:bCs/>
                <w:sz w:val="20"/>
              </w:rPr>
              <w:t>*</w:t>
            </w:r>
            <w:bookmarkEnd w:id="80"/>
          </w:p>
        </w:tc>
        <w:tc>
          <w:tcPr>
            <w:tcW w:w="5020" w:type="dxa"/>
          </w:tcPr>
          <w:p w14:paraId="5B4C0297" w14:textId="77777777" w:rsidR="00FE4F4E" w:rsidRPr="00B52071" w:rsidRDefault="00FE4F4E" w:rsidP="00FE4F4E">
            <w:pPr>
              <w:tabs>
                <w:tab w:val="left" w:pos="5400"/>
              </w:tabs>
              <w:rPr>
                <w:iCs/>
                <w:sz w:val="20"/>
              </w:rPr>
            </w:pPr>
            <w:r w:rsidRPr="00B52071">
              <w:rPr>
                <w:iCs/>
                <w:sz w:val="20"/>
              </w:rPr>
              <w:t>Cohort study—Report numbers of outcome events or summary measures over time</w:t>
            </w:r>
          </w:p>
        </w:tc>
        <w:tc>
          <w:tcPr>
            <w:tcW w:w="838" w:type="dxa"/>
          </w:tcPr>
          <w:p w14:paraId="0E0C4E40" w14:textId="75828C34" w:rsidR="00FE4F4E" w:rsidRPr="00B52071" w:rsidRDefault="001639B6" w:rsidP="00FE4F4E">
            <w:pPr>
              <w:tabs>
                <w:tab w:val="left" w:pos="5400"/>
              </w:tabs>
              <w:rPr>
                <w:rFonts w:hint="eastAsia"/>
                <w:iCs/>
                <w:sz w:val="20"/>
                <w:lang w:eastAsia="zh-CN"/>
              </w:rPr>
            </w:pPr>
            <w:r>
              <w:rPr>
                <w:rFonts w:hint="eastAsia"/>
                <w:iCs/>
                <w:sz w:val="20"/>
                <w:lang w:eastAsia="zh-CN"/>
              </w:rPr>
              <w:t>9</w:t>
            </w:r>
          </w:p>
        </w:tc>
        <w:tc>
          <w:tcPr>
            <w:tcW w:w="6864" w:type="dxa"/>
          </w:tcPr>
          <w:p w14:paraId="0922963D" w14:textId="4BB7B03C" w:rsidR="001639B6" w:rsidRPr="00B52071" w:rsidRDefault="001639B6" w:rsidP="00FE4F4E">
            <w:pPr>
              <w:tabs>
                <w:tab w:val="left" w:pos="5400"/>
              </w:tabs>
              <w:rPr>
                <w:rFonts w:hint="eastAsia"/>
                <w:iCs/>
                <w:sz w:val="20"/>
                <w:lang w:eastAsia="zh-CN"/>
              </w:rPr>
            </w:pPr>
            <w:r w:rsidRPr="001639B6">
              <w:rPr>
                <w:rFonts w:hint="eastAsia"/>
                <w:iCs/>
                <w:sz w:val="20"/>
                <w:lang w:eastAsia="zh-CN"/>
              </w:rPr>
              <w:t xml:space="preserve">PCI patients with and without ischemic events (area under the curve [AUC]:0.77; 95%CI 0.72-0.82; P&lt;0.0001). A VASP-PRI </w:t>
            </w:r>
            <w:r w:rsidRPr="001639B6">
              <w:rPr>
                <w:rFonts w:hint="eastAsia"/>
                <w:iCs/>
                <w:sz w:val="20"/>
                <w:lang w:eastAsia="zh-CN"/>
              </w:rPr>
              <w:t>≥</w:t>
            </w:r>
            <w:r w:rsidRPr="001639B6">
              <w:rPr>
                <w:rFonts w:hint="eastAsia"/>
                <w:iCs/>
                <w:sz w:val="20"/>
                <w:lang w:eastAsia="zh-CN"/>
              </w:rPr>
              <w:t>0.45 was identified as the optimal cutoff point for predicting ischemic events. It had a sensitivity of 86.6% and a specificity of 63.6%</w:t>
            </w:r>
            <w:r w:rsidRPr="001639B6">
              <w:rPr>
                <w:iCs/>
                <w:sz w:val="20"/>
                <w:lang w:eastAsia="zh-CN"/>
              </w:rPr>
              <w:t>, with a negative predictive value (NPV) of 98.2% and a positive predictive value (PPV) of 16.7%</w:t>
            </w:r>
            <w:r>
              <w:rPr>
                <w:rFonts w:hint="eastAsia"/>
                <w:iCs/>
                <w:sz w:val="20"/>
                <w:lang w:eastAsia="zh-CN"/>
              </w:rPr>
              <w:t>.</w:t>
            </w:r>
          </w:p>
        </w:tc>
      </w:tr>
      <w:tr w:rsidR="00FE4F4E" w:rsidRPr="0022554A" w14:paraId="52149B52" w14:textId="77777777" w:rsidTr="00BF394C">
        <w:trPr>
          <w:trHeight w:val="294"/>
        </w:trPr>
        <w:tc>
          <w:tcPr>
            <w:tcW w:w="0" w:type="auto"/>
            <w:vMerge/>
          </w:tcPr>
          <w:p w14:paraId="50F22838" w14:textId="77777777" w:rsidR="00FE4F4E" w:rsidRPr="0022554A" w:rsidRDefault="00FE4F4E" w:rsidP="00FE4F4E">
            <w:pPr>
              <w:tabs>
                <w:tab w:val="left" w:pos="5400"/>
              </w:tabs>
              <w:rPr>
                <w:bCs/>
                <w:sz w:val="20"/>
              </w:rPr>
            </w:pPr>
          </w:p>
        </w:tc>
        <w:tc>
          <w:tcPr>
            <w:tcW w:w="0" w:type="auto"/>
            <w:vMerge/>
          </w:tcPr>
          <w:p w14:paraId="74FDD2D8" w14:textId="77777777" w:rsidR="00FE4F4E" w:rsidRPr="0022554A" w:rsidRDefault="00FE4F4E" w:rsidP="00FE4F4E">
            <w:pPr>
              <w:tabs>
                <w:tab w:val="left" w:pos="5400"/>
              </w:tabs>
              <w:jc w:val="center"/>
              <w:rPr>
                <w:sz w:val="20"/>
              </w:rPr>
            </w:pPr>
          </w:p>
        </w:tc>
        <w:tc>
          <w:tcPr>
            <w:tcW w:w="5020" w:type="dxa"/>
          </w:tcPr>
          <w:p w14:paraId="488E94E4" w14:textId="77777777" w:rsidR="00FE4F4E" w:rsidRPr="0022554A" w:rsidRDefault="00FE4F4E" w:rsidP="00FE4F4E">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838" w:type="dxa"/>
          </w:tcPr>
          <w:p w14:paraId="20F2C260" w14:textId="77777777" w:rsidR="00FE4F4E" w:rsidRPr="0022554A" w:rsidRDefault="00FE4F4E" w:rsidP="00FE4F4E">
            <w:pPr>
              <w:tabs>
                <w:tab w:val="left" w:pos="5400"/>
              </w:tabs>
              <w:rPr>
                <w:i/>
                <w:sz w:val="20"/>
              </w:rPr>
            </w:pPr>
          </w:p>
        </w:tc>
        <w:tc>
          <w:tcPr>
            <w:tcW w:w="6864" w:type="dxa"/>
          </w:tcPr>
          <w:p w14:paraId="1C17A4A9" w14:textId="77777777" w:rsidR="00FE4F4E" w:rsidRPr="0022554A" w:rsidRDefault="00FE4F4E" w:rsidP="00FE4F4E">
            <w:pPr>
              <w:tabs>
                <w:tab w:val="left" w:pos="5400"/>
              </w:tabs>
              <w:rPr>
                <w:i/>
                <w:sz w:val="20"/>
              </w:rPr>
            </w:pPr>
          </w:p>
        </w:tc>
      </w:tr>
      <w:tr w:rsidR="00FE4F4E" w:rsidRPr="0022554A" w14:paraId="6B95930A" w14:textId="77777777" w:rsidTr="00BF394C">
        <w:trPr>
          <w:trHeight w:val="294"/>
        </w:trPr>
        <w:tc>
          <w:tcPr>
            <w:tcW w:w="0" w:type="auto"/>
            <w:vMerge/>
          </w:tcPr>
          <w:p w14:paraId="7B976DE7" w14:textId="77777777" w:rsidR="00FE4F4E" w:rsidRPr="0022554A" w:rsidRDefault="00FE4F4E" w:rsidP="00FE4F4E">
            <w:pPr>
              <w:tabs>
                <w:tab w:val="left" w:pos="5400"/>
              </w:tabs>
              <w:rPr>
                <w:bCs/>
                <w:sz w:val="20"/>
              </w:rPr>
            </w:pPr>
          </w:p>
        </w:tc>
        <w:tc>
          <w:tcPr>
            <w:tcW w:w="0" w:type="auto"/>
            <w:vMerge/>
          </w:tcPr>
          <w:p w14:paraId="7B60444E" w14:textId="77777777" w:rsidR="00FE4F4E" w:rsidRPr="0022554A" w:rsidRDefault="00FE4F4E" w:rsidP="00FE4F4E">
            <w:pPr>
              <w:tabs>
                <w:tab w:val="left" w:pos="5400"/>
              </w:tabs>
              <w:jc w:val="center"/>
              <w:rPr>
                <w:sz w:val="20"/>
              </w:rPr>
            </w:pPr>
          </w:p>
        </w:tc>
        <w:tc>
          <w:tcPr>
            <w:tcW w:w="5020" w:type="dxa"/>
          </w:tcPr>
          <w:p w14:paraId="37295B3F" w14:textId="77777777" w:rsidR="00FE4F4E" w:rsidRPr="0022554A" w:rsidRDefault="00FE4F4E" w:rsidP="00FE4F4E">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838" w:type="dxa"/>
          </w:tcPr>
          <w:p w14:paraId="489E63EA" w14:textId="77777777" w:rsidR="00FE4F4E" w:rsidRDefault="00FE4F4E" w:rsidP="00FE4F4E">
            <w:pPr>
              <w:tabs>
                <w:tab w:val="left" w:pos="5400"/>
              </w:tabs>
              <w:rPr>
                <w:i/>
                <w:sz w:val="20"/>
              </w:rPr>
            </w:pPr>
          </w:p>
        </w:tc>
        <w:tc>
          <w:tcPr>
            <w:tcW w:w="6864" w:type="dxa"/>
          </w:tcPr>
          <w:p w14:paraId="7F6BF4A6" w14:textId="77777777" w:rsidR="00FE4F4E" w:rsidRDefault="00FE4F4E" w:rsidP="00FE4F4E">
            <w:pPr>
              <w:tabs>
                <w:tab w:val="left" w:pos="5400"/>
              </w:tabs>
              <w:rPr>
                <w:i/>
                <w:sz w:val="20"/>
              </w:rPr>
            </w:pPr>
          </w:p>
        </w:tc>
      </w:tr>
      <w:tr w:rsidR="00FE4F4E" w:rsidRPr="0022554A" w14:paraId="2D64310E" w14:textId="77777777" w:rsidTr="00BF394C">
        <w:tc>
          <w:tcPr>
            <w:tcW w:w="0" w:type="auto"/>
            <w:vMerge w:val="restart"/>
          </w:tcPr>
          <w:p w14:paraId="6436E7E2" w14:textId="77777777" w:rsidR="00FE4F4E" w:rsidRPr="0022554A" w:rsidRDefault="00FE4F4E" w:rsidP="00FE4F4E">
            <w:pPr>
              <w:tabs>
                <w:tab w:val="left" w:pos="5400"/>
              </w:tabs>
              <w:rPr>
                <w:bCs/>
                <w:sz w:val="20"/>
              </w:rPr>
            </w:pPr>
            <w:bookmarkStart w:id="81" w:name="italic40" w:colFirst="0" w:colLast="0"/>
            <w:bookmarkStart w:id="82" w:name="bold41" w:colFirst="0" w:colLast="0"/>
            <w:bookmarkEnd w:id="78"/>
            <w:bookmarkEnd w:id="79"/>
            <w:r w:rsidRPr="0022554A">
              <w:rPr>
                <w:bCs/>
                <w:sz w:val="20"/>
              </w:rPr>
              <w:t>Main results</w:t>
            </w:r>
          </w:p>
        </w:tc>
        <w:tc>
          <w:tcPr>
            <w:tcW w:w="0" w:type="auto"/>
            <w:vMerge w:val="restart"/>
          </w:tcPr>
          <w:p w14:paraId="296AAFAE" w14:textId="77777777" w:rsidR="00FE4F4E" w:rsidRPr="0022554A" w:rsidRDefault="00FE4F4E" w:rsidP="00FE4F4E">
            <w:pPr>
              <w:tabs>
                <w:tab w:val="left" w:pos="5400"/>
              </w:tabs>
              <w:jc w:val="center"/>
              <w:rPr>
                <w:sz w:val="20"/>
              </w:rPr>
            </w:pPr>
            <w:r w:rsidRPr="0022554A">
              <w:rPr>
                <w:sz w:val="20"/>
              </w:rPr>
              <w:t>16</w:t>
            </w:r>
          </w:p>
        </w:tc>
        <w:tc>
          <w:tcPr>
            <w:tcW w:w="5020" w:type="dxa"/>
          </w:tcPr>
          <w:p w14:paraId="7CE2733C" w14:textId="77777777" w:rsidR="00FE4F4E" w:rsidRPr="006149D3" w:rsidRDefault="00FE4F4E" w:rsidP="00FE4F4E">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838" w:type="dxa"/>
          </w:tcPr>
          <w:p w14:paraId="166BBA83" w14:textId="1FB8C979" w:rsidR="00FE4F4E" w:rsidRPr="0022554A" w:rsidRDefault="001639B6" w:rsidP="00FE4F4E">
            <w:pPr>
              <w:tabs>
                <w:tab w:val="left" w:pos="5400"/>
              </w:tabs>
              <w:rPr>
                <w:rFonts w:hint="eastAsia"/>
                <w:sz w:val="20"/>
                <w:lang w:eastAsia="zh-CN"/>
              </w:rPr>
            </w:pPr>
            <w:r>
              <w:rPr>
                <w:rFonts w:hint="eastAsia"/>
                <w:sz w:val="20"/>
                <w:lang w:eastAsia="zh-CN"/>
              </w:rPr>
              <w:t>9-11</w:t>
            </w:r>
          </w:p>
        </w:tc>
        <w:tc>
          <w:tcPr>
            <w:tcW w:w="6864" w:type="dxa"/>
          </w:tcPr>
          <w:p w14:paraId="3DDEF4DA" w14:textId="26D714DD" w:rsidR="00FE4F4E" w:rsidRPr="0022554A" w:rsidRDefault="001639B6" w:rsidP="00FE4F4E">
            <w:pPr>
              <w:tabs>
                <w:tab w:val="left" w:pos="5400"/>
              </w:tabs>
              <w:rPr>
                <w:sz w:val="20"/>
              </w:rPr>
            </w:pPr>
            <w:r w:rsidRPr="001639B6">
              <w:rPr>
                <w:rFonts w:hint="eastAsia"/>
                <w:sz w:val="20"/>
              </w:rPr>
              <w:t>According to the VASP-PRI, we divided the high-risk patients into LPR, NPR, and HPR. A VASP-PRI</w:t>
            </w:r>
            <w:r w:rsidRPr="001639B6">
              <w:rPr>
                <w:rFonts w:hint="eastAsia"/>
                <w:sz w:val="20"/>
              </w:rPr>
              <w:t>≥</w:t>
            </w:r>
            <w:r w:rsidRPr="001639B6">
              <w:rPr>
                <w:rFonts w:hint="eastAsia"/>
                <w:sz w:val="20"/>
              </w:rPr>
              <w:t>0.45 was identified as HPR, A VASP-PRI</w:t>
            </w:r>
            <w:r w:rsidRPr="001639B6">
              <w:rPr>
                <w:rFonts w:hint="eastAsia"/>
                <w:sz w:val="20"/>
              </w:rPr>
              <w:t>≤</w:t>
            </w:r>
            <w:r w:rsidRPr="001639B6">
              <w:rPr>
                <w:rFonts w:hint="eastAsia"/>
                <w:sz w:val="20"/>
              </w:rPr>
              <w:t>0.24 was identified as LPR, and a VASP-PRI between 0.24 and 0.45 was identified as NPR.</w:t>
            </w:r>
          </w:p>
        </w:tc>
      </w:tr>
      <w:tr w:rsidR="00FE4F4E" w:rsidRPr="0022554A" w14:paraId="6B4BAAA6" w14:textId="77777777" w:rsidTr="00BF394C">
        <w:tc>
          <w:tcPr>
            <w:tcW w:w="0" w:type="auto"/>
            <w:vMerge/>
          </w:tcPr>
          <w:p w14:paraId="77BAA21A" w14:textId="77777777" w:rsidR="00FE4F4E" w:rsidRPr="0022554A" w:rsidRDefault="00FE4F4E" w:rsidP="00FE4F4E">
            <w:pPr>
              <w:tabs>
                <w:tab w:val="left" w:pos="5400"/>
              </w:tabs>
              <w:rPr>
                <w:bCs/>
                <w:sz w:val="20"/>
              </w:rPr>
            </w:pPr>
            <w:bookmarkStart w:id="83" w:name="italic41" w:colFirst="0" w:colLast="0"/>
            <w:bookmarkStart w:id="84" w:name="bold42" w:colFirst="0" w:colLast="0"/>
            <w:bookmarkEnd w:id="81"/>
            <w:bookmarkEnd w:id="82"/>
          </w:p>
        </w:tc>
        <w:tc>
          <w:tcPr>
            <w:tcW w:w="0" w:type="auto"/>
            <w:vMerge/>
          </w:tcPr>
          <w:p w14:paraId="4DE9AC3E" w14:textId="77777777" w:rsidR="00FE4F4E" w:rsidRPr="0022554A" w:rsidRDefault="00FE4F4E" w:rsidP="00FE4F4E">
            <w:pPr>
              <w:tabs>
                <w:tab w:val="left" w:pos="5400"/>
              </w:tabs>
              <w:jc w:val="center"/>
              <w:rPr>
                <w:sz w:val="20"/>
              </w:rPr>
            </w:pPr>
          </w:p>
        </w:tc>
        <w:tc>
          <w:tcPr>
            <w:tcW w:w="5020" w:type="dxa"/>
          </w:tcPr>
          <w:p w14:paraId="1881967A" w14:textId="77777777" w:rsidR="00FE4F4E" w:rsidRPr="006149D3" w:rsidRDefault="00FE4F4E" w:rsidP="00FE4F4E">
            <w:pPr>
              <w:tabs>
                <w:tab w:val="left" w:pos="5400"/>
              </w:tabs>
              <w:rPr>
                <w:sz w:val="20"/>
              </w:rPr>
            </w:pPr>
            <w:r w:rsidRPr="0022554A">
              <w:rPr>
                <w:sz w:val="20"/>
              </w:rPr>
              <w:t>(</w:t>
            </w:r>
            <w:r w:rsidRPr="0022554A">
              <w:rPr>
                <w:i/>
                <w:sz w:val="20"/>
              </w:rPr>
              <w:t>b</w:t>
            </w:r>
            <w:r w:rsidRPr="0022554A">
              <w:rPr>
                <w:sz w:val="20"/>
              </w:rPr>
              <w:t xml:space="preserve">) </w:t>
            </w:r>
            <w:bookmarkStart w:id="85" w:name="OLE_LINK120"/>
            <w:r w:rsidRPr="006149D3">
              <w:rPr>
                <w:sz w:val="20"/>
              </w:rPr>
              <w:t>Report category boundaries when continuous variables were categorized</w:t>
            </w:r>
            <w:bookmarkEnd w:id="85"/>
          </w:p>
        </w:tc>
        <w:tc>
          <w:tcPr>
            <w:tcW w:w="838" w:type="dxa"/>
          </w:tcPr>
          <w:p w14:paraId="3E767287" w14:textId="6BDD0DFB" w:rsidR="00FE4F4E" w:rsidRPr="0022554A" w:rsidRDefault="001639B6" w:rsidP="00FE4F4E">
            <w:pPr>
              <w:tabs>
                <w:tab w:val="left" w:pos="5400"/>
              </w:tabs>
              <w:rPr>
                <w:rFonts w:hint="eastAsia"/>
                <w:sz w:val="20"/>
                <w:lang w:eastAsia="zh-CN"/>
              </w:rPr>
            </w:pPr>
            <w:r>
              <w:rPr>
                <w:rFonts w:hint="eastAsia"/>
                <w:sz w:val="20"/>
                <w:lang w:eastAsia="zh-CN"/>
              </w:rPr>
              <w:t>9-11</w:t>
            </w:r>
          </w:p>
        </w:tc>
        <w:tc>
          <w:tcPr>
            <w:tcW w:w="6864" w:type="dxa"/>
          </w:tcPr>
          <w:p w14:paraId="61148553" w14:textId="3C34D088" w:rsidR="00FE4F4E" w:rsidRPr="0022554A" w:rsidRDefault="001639B6" w:rsidP="00FE4F4E">
            <w:pPr>
              <w:tabs>
                <w:tab w:val="left" w:pos="5400"/>
              </w:tabs>
              <w:rPr>
                <w:sz w:val="20"/>
              </w:rPr>
            </w:pPr>
            <w:r w:rsidRPr="001639B6">
              <w:rPr>
                <w:rFonts w:hint="eastAsia"/>
                <w:sz w:val="20"/>
              </w:rPr>
              <w:t>A VASP-PRI</w:t>
            </w:r>
            <w:r w:rsidRPr="001639B6">
              <w:rPr>
                <w:rFonts w:hint="eastAsia"/>
                <w:sz w:val="20"/>
              </w:rPr>
              <w:t>≥</w:t>
            </w:r>
            <w:r w:rsidRPr="001639B6">
              <w:rPr>
                <w:rFonts w:hint="eastAsia"/>
                <w:sz w:val="20"/>
              </w:rPr>
              <w:t>0.45 was identified as HPR, A VASP-PRI</w:t>
            </w:r>
            <w:r w:rsidRPr="001639B6">
              <w:rPr>
                <w:rFonts w:hint="eastAsia"/>
                <w:sz w:val="20"/>
              </w:rPr>
              <w:t>≤</w:t>
            </w:r>
            <w:r w:rsidRPr="001639B6">
              <w:rPr>
                <w:rFonts w:hint="eastAsia"/>
                <w:sz w:val="20"/>
              </w:rPr>
              <w:t>0.24 was identified as LPR, and a VASP-PRI between 0.24 and 0.45 was identified as NPR.</w:t>
            </w:r>
          </w:p>
        </w:tc>
      </w:tr>
      <w:tr w:rsidR="00FE4F4E" w:rsidRPr="0022554A" w14:paraId="04AB42B4" w14:textId="77777777" w:rsidTr="00BF394C">
        <w:tc>
          <w:tcPr>
            <w:tcW w:w="0" w:type="auto"/>
            <w:vMerge/>
          </w:tcPr>
          <w:p w14:paraId="50DE98EA" w14:textId="77777777" w:rsidR="00FE4F4E" w:rsidRPr="0022554A" w:rsidRDefault="00FE4F4E" w:rsidP="00FE4F4E">
            <w:pPr>
              <w:tabs>
                <w:tab w:val="left" w:pos="5400"/>
              </w:tabs>
              <w:rPr>
                <w:bCs/>
                <w:sz w:val="20"/>
              </w:rPr>
            </w:pPr>
            <w:bookmarkStart w:id="86" w:name="italic42" w:colFirst="0" w:colLast="0"/>
            <w:bookmarkStart w:id="87" w:name="bold43" w:colFirst="0" w:colLast="0"/>
            <w:bookmarkEnd w:id="83"/>
            <w:bookmarkEnd w:id="84"/>
          </w:p>
        </w:tc>
        <w:tc>
          <w:tcPr>
            <w:tcW w:w="0" w:type="auto"/>
            <w:vMerge/>
          </w:tcPr>
          <w:p w14:paraId="069D3788" w14:textId="77777777" w:rsidR="00FE4F4E" w:rsidRPr="0022554A" w:rsidRDefault="00FE4F4E" w:rsidP="00FE4F4E">
            <w:pPr>
              <w:tabs>
                <w:tab w:val="left" w:pos="5400"/>
              </w:tabs>
              <w:jc w:val="center"/>
              <w:rPr>
                <w:sz w:val="20"/>
              </w:rPr>
            </w:pPr>
          </w:p>
        </w:tc>
        <w:tc>
          <w:tcPr>
            <w:tcW w:w="5020" w:type="dxa"/>
          </w:tcPr>
          <w:p w14:paraId="58680CCF" w14:textId="77777777" w:rsidR="00FE4F4E" w:rsidRPr="006149D3" w:rsidRDefault="00FE4F4E" w:rsidP="00FE4F4E">
            <w:pPr>
              <w:tabs>
                <w:tab w:val="left" w:pos="5400"/>
              </w:tabs>
              <w:rPr>
                <w:sz w:val="20"/>
              </w:rPr>
            </w:pPr>
            <w:r w:rsidRPr="0022554A">
              <w:rPr>
                <w:sz w:val="20"/>
              </w:rPr>
              <w:t>(</w:t>
            </w:r>
            <w:r w:rsidRPr="0022554A">
              <w:rPr>
                <w:i/>
                <w:sz w:val="20"/>
              </w:rPr>
              <w:t>c</w:t>
            </w:r>
            <w:r w:rsidRPr="0022554A">
              <w:rPr>
                <w:sz w:val="20"/>
              </w:rPr>
              <w:t xml:space="preserve">) </w:t>
            </w:r>
            <w:bookmarkStart w:id="88" w:name="OLE_LINK121"/>
            <w:r w:rsidRPr="006149D3">
              <w:rPr>
                <w:sz w:val="20"/>
              </w:rPr>
              <w:t>If relevant, consider translating estimates of relative risk into absolute risk for a meaningful time period</w:t>
            </w:r>
            <w:bookmarkEnd w:id="88"/>
          </w:p>
        </w:tc>
        <w:tc>
          <w:tcPr>
            <w:tcW w:w="838" w:type="dxa"/>
          </w:tcPr>
          <w:p w14:paraId="2AC04814" w14:textId="5BAD30AD" w:rsidR="00FE4F4E" w:rsidRPr="0022554A" w:rsidRDefault="001639B6" w:rsidP="00FE4F4E">
            <w:pPr>
              <w:tabs>
                <w:tab w:val="left" w:pos="5400"/>
              </w:tabs>
              <w:rPr>
                <w:rFonts w:hint="eastAsia"/>
                <w:sz w:val="20"/>
                <w:lang w:eastAsia="zh-CN"/>
              </w:rPr>
            </w:pPr>
            <w:r>
              <w:rPr>
                <w:rFonts w:hint="eastAsia"/>
                <w:sz w:val="20"/>
                <w:lang w:eastAsia="zh-CN"/>
              </w:rPr>
              <w:t>11</w:t>
            </w:r>
          </w:p>
        </w:tc>
        <w:tc>
          <w:tcPr>
            <w:tcW w:w="6864" w:type="dxa"/>
          </w:tcPr>
          <w:p w14:paraId="2D99E9CE" w14:textId="25232BA7" w:rsidR="00FE4F4E" w:rsidRPr="0022554A" w:rsidRDefault="001639B6" w:rsidP="00FE4F4E">
            <w:pPr>
              <w:tabs>
                <w:tab w:val="left" w:pos="5400"/>
              </w:tabs>
              <w:rPr>
                <w:sz w:val="20"/>
              </w:rPr>
            </w:pPr>
            <w:r w:rsidRPr="001639B6">
              <w:rPr>
                <w:sz w:val="20"/>
              </w:rPr>
              <w:t>Multivariate analysis (Table 2) showed that VASP-PRI was an independent predictor of decreased risk of MACE.</w:t>
            </w:r>
          </w:p>
        </w:tc>
      </w:tr>
    </w:tbl>
    <w:p w14:paraId="392AB614" w14:textId="77777777" w:rsidR="00191A23" w:rsidRDefault="00191A23">
      <w:bookmarkStart w:id="89" w:name="italic43"/>
      <w:bookmarkStart w:id="90" w:name="bold44"/>
      <w:bookmarkEnd w:id="86"/>
      <w:bookmarkEnd w:id="8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5559"/>
        <w:gridCol w:w="720"/>
        <w:gridCol w:w="6802"/>
      </w:tblGrid>
      <w:tr w:rsidR="00191A23" w:rsidRPr="0022554A" w14:paraId="09A27D2D" w14:textId="77777777" w:rsidTr="002D34DC">
        <w:tc>
          <w:tcPr>
            <w:tcW w:w="0" w:type="auto"/>
          </w:tcPr>
          <w:p w14:paraId="3697EA11" w14:textId="77777777" w:rsidR="00191A23" w:rsidRPr="0022554A" w:rsidRDefault="00191A23" w:rsidP="00191A23">
            <w:pPr>
              <w:tabs>
                <w:tab w:val="left" w:pos="5400"/>
              </w:tabs>
              <w:rPr>
                <w:bCs/>
                <w:sz w:val="20"/>
              </w:rPr>
            </w:pPr>
            <w:r w:rsidRPr="0022554A">
              <w:rPr>
                <w:bCs/>
                <w:sz w:val="20"/>
              </w:rPr>
              <w:lastRenderedPageBreak/>
              <w:t>Other analyses</w:t>
            </w:r>
            <w:bookmarkEnd w:id="89"/>
            <w:bookmarkEnd w:id="90"/>
          </w:p>
        </w:tc>
        <w:tc>
          <w:tcPr>
            <w:tcW w:w="0" w:type="auto"/>
          </w:tcPr>
          <w:p w14:paraId="7CFB6EFB" w14:textId="77777777" w:rsidR="00191A23" w:rsidRPr="0022554A" w:rsidRDefault="00191A23" w:rsidP="00191A23">
            <w:pPr>
              <w:tabs>
                <w:tab w:val="left" w:pos="5400"/>
              </w:tabs>
              <w:jc w:val="center"/>
              <w:rPr>
                <w:sz w:val="20"/>
              </w:rPr>
            </w:pPr>
            <w:r w:rsidRPr="0022554A">
              <w:rPr>
                <w:sz w:val="20"/>
              </w:rPr>
              <w:t>17</w:t>
            </w:r>
          </w:p>
        </w:tc>
        <w:tc>
          <w:tcPr>
            <w:tcW w:w="5559" w:type="dxa"/>
          </w:tcPr>
          <w:p w14:paraId="54DD8719"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720" w:type="dxa"/>
          </w:tcPr>
          <w:p w14:paraId="5194A3EC" w14:textId="77777777" w:rsidR="00191A23" w:rsidRPr="0022554A" w:rsidRDefault="00FE4F4E" w:rsidP="00191A23">
            <w:pPr>
              <w:tabs>
                <w:tab w:val="left" w:pos="5400"/>
              </w:tabs>
              <w:rPr>
                <w:sz w:val="20"/>
              </w:rPr>
            </w:pPr>
            <w:r>
              <w:rPr>
                <w:sz w:val="20"/>
              </w:rPr>
              <w:t>NA</w:t>
            </w:r>
          </w:p>
        </w:tc>
        <w:tc>
          <w:tcPr>
            <w:tcW w:w="6802" w:type="dxa"/>
          </w:tcPr>
          <w:p w14:paraId="4E616668" w14:textId="77777777" w:rsidR="00191A23" w:rsidRPr="0022554A" w:rsidRDefault="00191A23" w:rsidP="00191A23">
            <w:pPr>
              <w:tabs>
                <w:tab w:val="left" w:pos="5400"/>
              </w:tabs>
              <w:rPr>
                <w:sz w:val="20"/>
              </w:rPr>
            </w:pPr>
          </w:p>
        </w:tc>
      </w:tr>
      <w:tr w:rsidR="00976EE1" w:rsidRPr="0022554A" w14:paraId="1C22165F" w14:textId="77777777" w:rsidTr="00191A23">
        <w:tc>
          <w:tcPr>
            <w:tcW w:w="14992" w:type="dxa"/>
            <w:gridSpan w:val="5"/>
          </w:tcPr>
          <w:p w14:paraId="39A8CF36" w14:textId="77777777" w:rsidR="00976EE1" w:rsidRPr="0022554A" w:rsidRDefault="00976EE1" w:rsidP="00191A23">
            <w:pPr>
              <w:pStyle w:val="TableSubHead"/>
              <w:tabs>
                <w:tab w:val="left" w:pos="5400"/>
              </w:tabs>
              <w:rPr>
                <w:sz w:val="20"/>
              </w:rPr>
            </w:pPr>
            <w:bookmarkStart w:id="91" w:name="italic44"/>
            <w:bookmarkStart w:id="92" w:name="bold45"/>
            <w:r w:rsidRPr="0022554A">
              <w:rPr>
                <w:sz w:val="20"/>
              </w:rPr>
              <w:t>Discussion</w:t>
            </w:r>
            <w:bookmarkEnd w:id="91"/>
            <w:bookmarkEnd w:id="92"/>
          </w:p>
        </w:tc>
      </w:tr>
      <w:tr w:rsidR="00191A23" w:rsidRPr="0022554A" w14:paraId="72538AA1" w14:textId="77777777" w:rsidTr="002D34DC">
        <w:tc>
          <w:tcPr>
            <w:tcW w:w="0" w:type="auto"/>
          </w:tcPr>
          <w:p w14:paraId="62C1067D" w14:textId="77777777" w:rsidR="00191A23" w:rsidRPr="0022554A" w:rsidRDefault="00191A23" w:rsidP="00191A23">
            <w:pPr>
              <w:tabs>
                <w:tab w:val="left" w:pos="5400"/>
              </w:tabs>
              <w:rPr>
                <w:bCs/>
                <w:sz w:val="20"/>
              </w:rPr>
            </w:pPr>
            <w:bookmarkStart w:id="93" w:name="italic45" w:colFirst="0" w:colLast="0"/>
            <w:bookmarkStart w:id="94" w:name="bold46" w:colFirst="0" w:colLast="0"/>
            <w:r w:rsidRPr="0022554A">
              <w:rPr>
                <w:bCs/>
                <w:sz w:val="20"/>
              </w:rPr>
              <w:t>Key results</w:t>
            </w:r>
          </w:p>
        </w:tc>
        <w:tc>
          <w:tcPr>
            <w:tcW w:w="0" w:type="auto"/>
          </w:tcPr>
          <w:p w14:paraId="2222CA4B" w14:textId="77777777" w:rsidR="00191A23" w:rsidRPr="0022554A" w:rsidRDefault="00191A23" w:rsidP="00191A23">
            <w:pPr>
              <w:tabs>
                <w:tab w:val="left" w:pos="5400"/>
              </w:tabs>
              <w:jc w:val="center"/>
              <w:rPr>
                <w:sz w:val="20"/>
              </w:rPr>
            </w:pPr>
            <w:r w:rsidRPr="0022554A">
              <w:rPr>
                <w:sz w:val="20"/>
              </w:rPr>
              <w:t>18</w:t>
            </w:r>
          </w:p>
        </w:tc>
        <w:tc>
          <w:tcPr>
            <w:tcW w:w="5559" w:type="dxa"/>
          </w:tcPr>
          <w:p w14:paraId="2BB773C4"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720" w:type="dxa"/>
          </w:tcPr>
          <w:p w14:paraId="37E0FBD9" w14:textId="182CB841" w:rsidR="00191A23" w:rsidRPr="0022554A" w:rsidRDefault="001639B6" w:rsidP="00191A23">
            <w:pPr>
              <w:tabs>
                <w:tab w:val="left" w:pos="5400"/>
              </w:tabs>
              <w:rPr>
                <w:rFonts w:hint="eastAsia"/>
                <w:sz w:val="20"/>
                <w:lang w:eastAsia="zh-CN"/>
              </w:rPr>
            </w:pPr>
            <w:r>
              <w:rPr>
                <w:rFonts w:hint="eastAsia"/>
                <w:sz w:val="20"/>
                <w:lang w:eastAsia="zh-CN"/>
              </w:rPr>
              <w:t>11</w:t>
            </w:r>
          </w:p>
        </w:tc>
        <w:tc>
          <w:tcPr>
            <w:tcW w:w="6802" w:type="dxa"/>
          </w:tcPr>
          <w:p w14:paraId="4D2A7EE9" w14:textId="24E9E188" w:rsidR="00191A23" w:rsidRPr="0022554A" w:rsidRDefault="001639B6" w:rsidP="00191A23">
            <w:pPr>
              <w:tabs>
                <w:tab w:val="left" w:pos="5400"/>
              </w:tabs>
              <w:rPr>
                <w:sz w:val="20"/>
              </w:rPr>
            </w:pPr>
            <w:r w:rsidRPr="001639B6">
              <w:rPr>
                <w:rFonts w:hint="eastAsia"/>
                <w:sz w:val="20"/>
              </w:rPr>
              <w:t>First, PRI</w:t>
            </w:r>
            <w:r w:rsidRPr="001639B6">
              <w:rPr>
                <w:rFonts w:hint="eastAsia"/>
                <w:sz w:val="20"/>
              </w:rPr>
              <w:t>≥</w:t>
            </w:r>
            <w:r w:rsidRPr="001639B6">
              <w:rPr>
                <w:rFonts w:hint="eastAsia"/>
                <w:sz w:val="20"/>
              </w:rPr>
              <w:t>0.45 was the strongest predictor of ischemia, and PRI</w:t>
            </w:r>
            <w:r w:rsidRPr="001639B6">
              <w:rPr>
                <w:rFonts w:hint="eastAsia"/>
                <w:sz w:val="20"/>
              </w:rPr>
              <w:t>≤</w:t>
            </w:r>
            <w:r w:rsidRPr="001639B6">
              <w:rPr>
                <w:rFonts w:hint="eastAsia"/>
                <w:sz w:val="20"/>
              </w:rPr>
              <w:t>0.24 was the strongest predictor of bleeding in high-risk Chinese patients.</w:t>
            </w:r>
            <w:r>
              <w:t xml:space="preserve"> </w:t>
            </w:r>
          </w:p>
        </w:tc>
      </w:tr>
      <w:tr w:rsidR="00191A23" w:rsidRPr="0022554A" w14:paraId="6F15CEA9" w14:textId="77777777" w:rsidTr="002D34DC">
        <w:tc>
          <w:tcPr>
            <w:tcW w:w="0" w:type="auto"/>
          </w:tcPr>
          <w:p w14:paraId="09FA4877" w14:textId="77777777" w:rsidR="00191A23" w:rsidRPr="0022554A" w:rsidRDefault="00191A23" w:rsidP="00191A23">
            <w:pPr>
              <w:tabs>
                <w:tab w:val="left" w:pos="5400"/>
              </w:tabs>
              <w:rPr>
                <w:bCs/>
                <w:sz w:val="20"/>
              </w:rPr>
            </w:pPr>
            <w:bookmarkStart w:id="95" w:name="italic46" w:colFirst="0" w:colLast="0"/>
            <w:bookmarkStart w:id="96" w:name="bold47" w:colFirst="0" w:colLast="0"/>
            <w:bookmarkEnd w:id="93"/>
            <w:bookmarkEnd w:id="94"/>
            <w:r w:rsidRPr="0022554A">
              <w:rPr>
                <w:bCs/>
                <w:sz w:val="20"/>
              </w:rPr>
              <w:t>Limitations</w:t>
            </w:r>
          </w:p>
        </w:tc>
        <w:tc>
          <w:tcPr>
            <w:tcW w:w="0" w:type="auto"/>
          </w:tcPr>
          <w:p w14:paraId="61BAA803" w14:textId="77777777" w:rsidR="00191A23" w:rsidRPr="0022554A" w:rsidRDefault="00191A23" w:rsidP="00191A23">
            <w:pPr>
              <w:tabs>
                <w:tab w:val="left" w:pos="5400"/>
              </w:tabs>
              <w:jc w:val="center"/>
              <w:rPr>
                <w:sz w:val="20"/>
              </w:rPr>
            </w:pPr>
            <w:r w:rsidRPr="0022554A">
              <w:rPr>
                <w:sz w:val="20"/>
              </w:rPr>
              <w:t>19</w:t>
            </w:r>
          </w:p>
        </w:tc>
        <w:tc>
          <w:tcPr>
            <w:tcW w:w="5559" w:type="dxa"/>
          </w:tcPr>
          <w:p w14:paraId="50CC706D"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720" w:type="dxa"/>
          </w:tcPr>
          <w:p w14:paraId="4E01F0AB" w14:textId="5812628F" w:rsidR="00191A23" w:rsidRPr="0022554A" w:rsidRDefault="001639B6" w:rsidP="00191A23">
            <w:pPr>
              <w:tabs>
                <w:tab w:val="left" w:pos="5400"/>
              </w:tabs>
              <w:rPr>
                <w:rFonts w:hint="eastAsia"/>
                <w:sz w:val="20"/>
                <w:lang w:eastAsia="zh-CN"/>
              </w:rPr>
            </w:pPr>
            <w:r>
              <w:rPr>
                <w:rFonts w:hint="eastAsia"/>
                <w:sz w:val="20"/>
                <w:lang w:eastAsia="zh-CN"/>
              </w:rPr>
              <w:t>13</w:t>
            </w:r>
            <w:r w:rsidR="00C367B7">
              <w:rPr>
                <w:sz w:val="20"/>
              </w:rPr>
              <w:t>-1</w:t>
            </w:r>
            <w:r>
              <w:rPr>
                <w:rFonts w:hint="eastAsia"/>
                <w:sz w:val="20"/>
                <w:lang w:eastAsia="zh-CN"/>
              </w:rPr>
              <w:t>4</w:t>
            </w:r>
          </w:p>
        </w:tc>
        <w:tc>
          <w:tcPr>
            <w:tcW w:w="6802" w:type="dxa"/>
          </w:tcPr>
          <w:p w14:paraId="3B7ABF9D" w14:textId="2FDFA641" w:rsidR="00191A23" w:rsidRPr="0022554A" w:rsidRDefault="001639B6" w:rsidP="00191A23">
            <w:pPr>
              <w:tabs>
                <w:tab w:val="left" w:pos="5400"/>
              </w:tabs>
              <w:rPr>
                <w:sz w:val="20"/>
              </w:rPr>
            </w:pPr>
            <w:r w:rsidRPr="001639B6">
              <w:rPr>
                <w:sz w:val="20"/>
              </w:rPr>
              <w:t xml:space="preserve">It is important to recognize that these trials have significant limitations. First, this observational study aimed to investigate the relationship between platelet reactivity and major adverse cardiac events. Therefore, a prospective study is necessary to confirm the clinical relevance of the PRI cutoff value. Second, the clinical utility of the VASP assay may differ, but it remains unaffected by the GPIIb/IIIa inhibitor. Third, the frequency of CYP2C19 polymorphisms is higher in Asian populations compared to Western populations, but genetic studies were lacking in our study. Thus, we cannot rule out the possibility that ethnic factors contribute to differences in the PRI therapy window. Fourth, our study had a limitation in that it was an observational design, which means we cannot infer causation from the results. Patients taking anticoagulants were excluded from the DAPT study, which accounts for 4% to 7% of all PCI patients. </w:t>
            </w:r>
          </w:p>
        </w:tc>
      </w:tr>
      <w:tr w:rsidR="00191A23" w:rsidRPr="0022554A" w14:paraId="4066EE1A" w14:textId="77777777" w:rsidTr="002D34DC">
        <w:tc>
          <w:tcPr>
            <w:tcW w:w="0" w:type="auto"/>
          </w:tcPr>
          <w:p w14:paraId="32A6276D" w14:textId="77777777" w:rsidR="00191A23" w:rsidRPr="0022554A" w:rsidRDefault="00191A23" w:rsidP="00191A23">
            <w:pPr>
              <w:tabs>
                <w:tab w:val="left" w:pos="5400"/>
              </w:tabs>
              <w:rPr>
                <w:bCs/>
                <w:sz w:val="20"/>
              </w:rPr>
            </w:pPr>
            <w:bookmarkStart w:id="97" w:name="italic47" w:colFirst="0" w:colLast="0"/>
            <w:bookmarkStart w:id="98" w:name="bold48" w:colFirst="0" w:colLast="0"/>
            <w:bookmarkEnd w:id="95"/>
            <w:bookmarkEnd w:id="96"/>
            <w:r w:rsidRPr="0022554A">
              <w:rPr>
                <w:bCs/>
                <w:sz w:val="20"/>
              </w:rPr>
              <w:t>Interpretation</w:t>
            </w:r>
          </w:p>
        </w:tc>
        <w:tc>
          <w:tcPr>
            <w:tcW w:w="0" w:type="auto"/>
          </w:tcPr>
          <w:p w14:paraId="2B434828" w14:textId="77777777" w:rsidR="00191A23" w:rsidRPr="0022554A" w:rsidRDefault="00191A23" w:rsidP="00191A23">
            <w:pPr>
              <w:tabs>
                <w:tab w:val="left" w:pos="5400"/>
              </w:tabs>
              <w:jc w:val="center"/>
              <w:rPr>
                <w:sz w:val="20"/>
              </w:rPr>
            </w:pPr>
            <w:r w:rsidRPr="0022554A">
              <w:rPr>
                <w:sz w:val="20"/>
              </w:rPr>
              <w:t>20</w:t>
            </w:r>
          </w:p>
        </w:tc>
        <w:tc>
          <w:tcPr>
            <w:tcW w:w="5559" w:type="dxa"/>
          </w:tcPr>
          <w:p w14:paraId="4F33EBEA" w14:textId="77777777" w:rsidR="00191A23" w:rsidRPr="0022554A" w:rsidRDefault="00191A23" w:rsidP="00191A23">
            <w:pPr>
              <w:tabs>
                <w:tab w:val="left" w:pos="5400"/>
              </w:tabs>
              <w:rPr>
                <w:sz w:val="20"/>
              </w:rPr>
            </w:pPr>
            <w:bookmarkStart w:id="99" w:name="OLE_LINK127"/>
            <w:r w:rsidRPr="0022554A">
              <w:rPr>
                <w:sz w:val="20"/>
              </w:rPr>
              <w:t>Give a cautious overall interpretation of results considering objectives, limitations, multiplicity of analyses, results from similar studies, and other relevant evidence</w:t>
            </w:r>
            <w:bookmarkEnd w:id="99"/>
          </w:p>
        </w:tc>
        <w:tc>
          <w:tcPr>
            <w:tcW w:w="720" w:type="dxa"/>
          </w:tcPr>
          <w:p w14:paraId="15EE517E" w14:textId="34918F4E" w:rsidR="00191A23" w:rsidRPr="0022554A" w:rsidRDefault="0068279A" w:rsidP="00191A23">
            <w:pPr>
              <w:tabs>
                <w:tab w:val="left" w:pos="5400"/>
              </w:tabs>
              <w:rPr>
                <w:rFonts w:hint="eastAsia"/>
                <w:sz w:val="20"/>
                <w:lang w:eastAsia="zh-CN"/>
              </w:rPr>
            </w:pPr>
            <w:r>
              <w:rPr>
                <w:rFonts w:hint="eastAsia"/>
                <w:sz w:val="20"/>
                <w:lang w:eastAsia="zh-CN"/>
              </w:rPr>
              <w:t>13</w:t>
            </w:r>
          </w:p>
        </w:tc>
        <w:tc>
          <w:tcPr>
            <w:tcW w:w="6802" w:type="dxa"/>
          </w:tcPr>
          <w:p w14:paraId="72B90E4F" w14:textId="385DBEC2" w:rsidR="00191A23" w:rsidRPr="0022554A" w:rsidRDefault="0068279A" w:rsidP="00191A23">
            <w:pPr>
              <w:tabs>
                <w:tab w:val="left" w:pos="5400"/>
              </w:tabs>
              <w:rPr>
                <w:sz w:val="20"/>
              </w:rPr>
            </w:pPr>
            <w:r w:rsidRPr="0068279A">
              <w:rPr>
                <w:sz w:val="20"/>
              </w:rPr>
              <w:t>a VASP-PRI range of 24% to 45% was a clinically relevant cutoff value for preventing ischemic and bleeding events in high-risk PCI patients. This therapeutic window is narrower than what is observed in Western populations.</w:t>
            </w:r>
          </w:p>
        </w:tc>
      </w:tr>
      <w:tr w:rsidR="00191A23" w:rsidRPr="0022554A" w14:paraId="3811202F" w14:textId="77777777" w:rsidTr="002D34DC">
        <w:tc>
          <w:tcPr>
            <w:tcW w:w="0" w:type="auto"/>
          </w:tcPr>
          <w:p w14:paraId="47C92998" w14:textId="77777777" w:rsidR="00191A23" w:rsidRPr="0022554A" w:rsidRDefault="00191A23" w:rsidP="00191A23">
            <w:pPr>
              <w:tabs>
                <w:tab w:val="left" w:pos="5400"/>
              </w:tabs>
              <w:rPr>
                <w:bCs/>
                <w:sz w:val="20"/>
              </w:rPr>
            </w:pPr>
            <w:bookmarkStart w:id="100" w:name="italic48" w:colFirst="0" w:colLast="0"/>
            <w:bookmarkStart w:id="101" w:name="bold49" w:colFirst="0" w:colLast="0"/>
            <w:bookmarkEnd w:id="97"/>
            <w:bookmarkEnd w:id="98"/>
            <w:r w:rsidRPr="0022554A">
              <w:rPr>
                <w:bCs/>
                <w:sz w:val="20"/>
              </w:rPr>
              <w:t>Generalisability</w:t>
            </w:r>
          </w:p>
        </w:tc>
        <w:tc>
          <w:tcPr>
            <w:tcW w:w="0" w:type="auto"/>
          </w:tcPr>
          <w:p w14:paraId="0B4D975F" w14:textId="77777777" w:rsidR="00191A23" w:rsidRPr="0022554A" w:rsidRDefault="00191A23" w:rsidP="00191A23">
            <w:pPr>
              <w:tabs>
                <w:tab w:val="left" w:pos="5400"/>
              </w:tabs>
              <w:jc w:val="center"/>
              <w:rPr>
                <w:sz w:val="20"/>
              </w:rPr>
            </w:pPr>
            <w:r w:rsidRPr="0022554A">
              <w:rPr>
                <w:sz w:val="20"/>
              </w:rPr>
              <w:t>21</w:t>
            </w:r>
          </w:p>
        </w:tc>
        <w:tc>
          <w:tcPr>
            <w:tcW w:w="5559" w:type="dxa"/>
          </w:tcPr>
          <w:p w14:paraId="3AB4C13F"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720" w:type="dxa"/>
          </w:tcPr>
          <w:p w14:paraId="43666E65" w14:textId="7A087951" w:rsidR="00191A23" w:rsidRPr="0022554A" w:rsidRDefault="0068279A" w:rsidP="00191A23">
            <w:pPr>
              <w:tabs>
                <w:tab w:val="left" w:pos="5400"/>
              </w:tabs>
              <w:rPr>
                <w:rFonts w:hint="eastAsia"/>
                <w:sz w:val="20"/>
                <w:lang w:eastAsia="zh-CN"/>
              </w:rPr>
            </w:pPr>
            <w:r>
              <w:rPr>
                <w:rFonts w:hint="eastAsia"/>
                <w:sz w:val="20"/>
                <w:lang w:eastAsia="zh-CN"/>
              </w:rPr>
              <w:t>13-14</w:t>
            </w:r>
          </w:p>
        </w:tc>
        <w:tc>
          <w:tcPr>
            <w:tcW w:w="6802" w:type="dxa"/>
          </w:tcPr>
          <w:p w14:paraId="4BA5F0BB" w14:textId="58C7FD20" w:rsidR="00191A23" w:rsidRPr="0022554A" w:rsidRDefault="0068279A" w:rsidP="00191A23">
            <w:pPr>
              <w:tabs>
                <w:tab w:val="left" w:pos="5400"/>
              </w:tabs>
              <w:rPr>
                <w:sz w:val="20"/>
              </w:rPr>
            </w:pPr>
            <w:r w:rsidRPr="001639B6">
              <w:rPr>
                <w:sz w:val="20"/>
              </w:rPr>
              <w:t>Our study highlights the need for further research to determine whether personalized therapies improve outcomes in patients with high-risk vascular disease.</w:t>
            </w:r>
          </w:p>
        </w:tc>
      </w:tr>
      <w:tr w:rsidR="00191A23" w:rsidRPr="0022554A" w14:paraId="5D4FD6DF" w14:textId="77777777" w:rsidTr="00517788">
        <w:tc>
          <w:tcPr>
            <w:tcW w:w="1911" w:type="dxa"/>
            <w:gridSpan w:val="2"/>
          </w:tcPr>
          <w:p w14:paraId="040C7448" w14:textId="77777777" w:rsidR="00191A23" w:rsidRPr="0022554A" w:rsidRDefault="00191A23" w:rsidP="00191A23">
            <w:pPr>
              <w:pStyle w:val="TableSubHead"/>
              <w:tabs>
                <w:tab w:val="left" w:pos="5400"/>
              </w:tabs>
              <w:rPr>
                <w:sz w:val="20"/>
              </w:rPr>
            </w:pPr>
            <w:bookmarkStart w:id="102" w:name="italic49"/>
            <w:bookmarkStart w:id="103" w:name="bold50"/>
            <w:bookmarkEnd w:id="100"/>
            <w:bookmarkEnd w:id="101"/>
            <w:r w:rsidRPr="0022554A">
              <w:rPr>
                <w:sz w:val="20"/>
              </w:rPr>
              <w:t>Other information</w:t>
            </w:r>
          </w:p>
        </w:tc>
        <w:bookmarkEnd w:id="102"/>
        <w:bookmarkEnd w:id="103"/>
        <w:tc>
          <w:tcPr>
            <w:tcW w:w="13081" w:type="dxa"/>
            <w:gridSpan w:val="3"/>
          </w:tcPr>
          <w:p w14:paraId="6CD5B363" w14:textId="77777777" w:rsidR="00191A23" w:rsidRPr="0022554A" w:rsidRDefault="00191A23" w:rsidP="00191A23">
            <w:pPr>
              <w:pStyle w:val="TableSubHead"/>
              <w:tabs>
                <w:tab w:val="left" w:pos="5400"/>
              </w:tabs>
              <w:rPr>
                <w:sz w:val="20"/>
              </w:rPr>
            </w:pPr>
          </w:p>
        </w:tc>
      </w:tr>
      <w:tr w:rsidR="00191A23" w:rsidRPr="0022554A" w14:paraId="3D40C761" w14:textId="77777777" w:rsidTr="002D34DC">
        <w:tc>
          <w:tcPr>
            <w:tcW w:w="0" w:type="auto"/>
          </w:tcPr>
          <w:p w14:paraId="5AF3173B" w14:textId="77777777" w:rsidR="00191A23" w:rsidRPr="0022554A" w:rsidRDefault="00191A23" w:rsidP="00191A23">
            <w:pPr>
              <w:tabs>
                <w:tab w:val="left" w:pos="5400"/>
              </w:tabs>
              <w:rPr>
                <w:bCs/>
                <w:sz w:val="20"/>
              </w:rPr>
            </w:pPr>
            <w:bookmarkStart w:id="104" w:name="italic50" w:colFirst="0" w:colLast="0"/>
            <w:bookmarkStart w:id="105" w:name="bold51" w:colFirst="0" w:colLast="0"/>
            <w:r w:rsidRPr="0022554A">
              <w:rPr>
                <w:bCs/>
                <w:sz w:val="20"/>
              </w:rPr>
              <w:t>Funding</w:t>
            </w:r>
          </w:p>
        </w:tc>
        <w:tc>
          <w:tcPr>
            <w:tcW w:w="0" w:type="auto"/>
          </w:tcPr>
          <w:p w14:paraId="3ACF13B1" w14:textId="77777777" w:rsidR="00191A23" w:rsidRPr="0022554A" w:rsidRDefault="00191A23" w:rsidP="00191A23">
            <w:pPr>
              <w:tabs>
                <w:tab w:val="left" w:pos="5400"/>
              </w:tabs>
              <w:jc w:val="center"/>
              <w:rPr>
                <w:sz w:val="20"/>
              </w:rPr>
            </w:pPr>
            <w:r w:rsidRPr="0022554A">
              <w:rPr>
                <w:sz w:val="20"/>
              </w:rPr>
              <w:t>22</w:t>
            </w:r>
          </w:p>
        </w:tc>
        <w:tc>
          <w:tcPr>
            <w:tcW w:w="5559" w:type="dxa"/>
          </w:tcPr>
          <w:p w14:paraId="35333E4D"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720" w:type="dxa"/>
          </w:tcPr>
          <w:p w14:paraId="09E9D104" w14:textId="280EC244" w:rsidR="00191A23" w:rsidRPr="0022554A" w:rsidRDefault="00C367B7" w:rsidP="00191A23">
            <w:pPr>
              <w:tabs>
                <w:tab w:val="left" w:pos="5400"/>
              </w:tabs>
              <w:rPr>
                <w:rFonts w:hint="eastAsia"/>
                <w:sz w:val="20"/>
                <w:lang w:eastAsia="zh-CN"/>
              </w:rPr>
            </w:pPr>
            <w:r>
              <w:rPr>
                <w:sz w:val="20"/>
              </w:rPr>
              <w:t>1</w:t>
            </w:r>
            <w:r w:rsidR="0068279A">
              <w:rPr>
                <w:rFonts w:hint="eastAsia"/>
                <w:sz w:val="20"/>
                <w:lang w:eastAsia="zh-CN"/>
              </w:rPr>
              <w:t>4</w:t>
            </w:r>
          </w:p>
        </w:tc>
        <w:tc>
          <w:tcPr>
            <w:tcW w:w="6802" w:type="dxa"/>
          </w:tcPr>
          <w:p w14:paraId="6A042D0A" w14:textId="3571790E" w:rsidR="0068279A" w:rsidRPr="0022554A" w:rsidRDefault="0068279A" w:rsidP="002D34DC">
            <w:pPr>
              <w:rPr>
                <w:rFonts w:hint="eastAsia"/>
                <w:sz w:val="20"/>
                <w:lang w:eastAsia="zh-CN"/>
              </w:rPr>
            </w:pPr>
            <w:r w:rsidRPr="0068279A">
              <w:rPr>
                <w:sz w:val="20"/>
                <w:lang w:eastAsia="zh-CN"/>
              </w:rPr>
              <w:t>This research was supported by the Key Research and Development Project of Hunan Province (2020SK2010), the National Major New Drug Creation Project of China (No. 2020ZX09201-010), and the Health Research Project of Hunan Provincial Health Commission(grant number W20243193).</w:t>
            </w:r>
          </w:p>
        </w:tc>
      </w:tr>
      <w:bookmarkEnd w:id="104"/>
      <w:bookmarkEnd w:id="105"/>
    </w:tbl>
    <w:p w14:paraId="792D998B" w14:textId="77777777" w:rsidR="002602FB" w:rsidRDefault="002602FB" w:rsidP="0022554A">
      <w:pPr>
        <w:pStyle w:val="TableNote"/>
        <w:tabs>
          <w:tab w:val="left" w:pos="5400"/>
        </w:tabs>
        <w:rPr>
          <w:bCs/>
          <w:sz w:val="20"/>
        </w:rPr>
      </w:pPr>
    </w:p>
    <w:p w14:paraId="65686A5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71C5A888" w14:textId="77777777" w:rsidR="00AE2C57" w:rsidRDefault="00AE2C57" w:rsidP="0022554A">
      <w:pPr>
        <w:pStyle w:val="TableNote"/>
        <w:tabs>
          <w:tab w:val="left" w:pos="5400"/>
        </w:tabs>
        <w:rPr>
          <w:sz w:val="20"/>
        </w:rPr>
      </w:pPr>
    </w:p>
    <w:p w14:paraId="46DF6A6F" w14:textId="77777777" w:rsidR="00A42352" w:rsidRPr="002602FB" w:rsidRDefault="002602FB" w:rsidP="002602FB">
      <w:pPr>
        <w:pStyle w:val="TableNote"/>
        <w:tabs>
          <w:tab w:val="left" w:pos="5400"/>
        </w:tabs>
        <w:rPr>
          <w:sz w:val="20"/>
        </w:rPr>
      </w:pPr>
      <w:r w:rsidRPr="00AB7BC4">
        <w:rPr>
          <w:b/>
          <w:sz w:val="20"/>
        </w:rPr>
        <w:lastRenderedPageBreak/>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3678" w14:textId="77777777" w:rsidR="00FE5307" w:rsidRDefault="00FE5307">
      <w:r>
        <w:separator/>
      </w:r>
    </w:p>
  </w:endnote>
  <w:endnote w:type="continuationSeparator" w:id="0">
    <w:p w14:paraId="7E0EDABC" w14:textId="77777777" w:rsidR="00FE5307" w:rsidRDefault="00FE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A5AA"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A3490"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D967"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3DC80F32"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0331" w14:textId="77777777" w:rsidR="00FE5307" w:rsidRDefault="00FE5307">
      <w:r>
        <w:separator/>
      </w:r>
    </w:p>
  </w:footnote>
  <w:footnote w:type="continuationSeparator" w:id="0">
    <w:p w14:paraId="4CE314E5" w14:textId="77777777" w:rsidR="00FE5307" w:rsidRDefault="00FE5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818841580">
    <w:abstractNumId w:val="20"/>
  </w:num>
  <w:num w:numId="2" w16cid:durableId="1274897086">
    <w:abstractNumId w:val="11"/>
  </w:num>
  <w:num w:numId="3" w16cid:durableId="448938254">
    <w:abstractNumId w:val="18"/>
  </w:num>
  <w:num w:numId="4" w16cid:durableId="1564759322">
    <w:abstractNumId w:val="16"/>
  </w:num>
  <w:num w:numId="5" w16cid:durableId="562757840">
    <w:abstractNumId w:val="15"/>
  </w:num>
  <w:num w:numId="6" w16cid:durableId="922882732">
    <w:abstractNumId w:val="19"/>
  </w:num>
  <w:num w:numId="7" w16cid:durableId="1267426879">
    <w:abstractNumId w:val="10"/>
  </w:num>
  <w:num w:numId="8" w16cid:durableId="1807819056">
    <w:abstractNumId w:val="13"/>
  </w:num>
  <w:num w:numId="9" w16cid:durableId="406461872">
    <w:abstractNumId w:val="9"/>
  </w:num>
  <w:num w:numId="10" w16cid:durableId="2003965931">
    <w:abstractNumId w:val="14"/>
  </w:num>
  <w:num w:numId="11" w16cid:durableId="1064372776">
    <w:abstractNumId w:val="7"/>
  </w:num>
  <w:num w:numId="12" w16cid:durableId="397558111">
    <w:abstractNumId w:val="6"/>
  </w:num>
  <w:num w:numId="13" w16cid:durableId="21438341">
    <w:abstractNumId w:val="5"/>
  </w:num>
  <w:num w:numId="14" w16cid:durableId="572857709">
    <w:abstractNumId w:val="4"/>
  </w:num>
  <w:num w:numId="15" w16cid:durableId="1028262232">
    <w:abstractNumId w:val="8"/>
  </w:num>
  <w:num w:numId="16" w16cid:durableId="329868041">
    <w:abstractNumId w:val="3"/>
  </w:num>
  <w:num w:numId="17" w16cid:durableId="1385832080">
    <w:abstractNumId w:val="2"/>
  </w:num>
  <w:num w:numId="18" w16cid:durableId="419640431">
    <w:abstractNumId w:val="1"/>
  </w:num>
  <w:num w:numId="19" w16cid:durableId="494347363">
    <w:abstractNumId w:val="0"/>
  </w:num>
  <w:num w:numId="20" w16cid:durableId="1068842903">
    <w:abstractNumId w:val="12"/>
  </w:num>
  <w:num w:numId="21" w16cid:durableId="14664638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550C9"/>
    <w:rsid w:val="00093E3A"/>
    <w:rsid w:val="000B6FD4"/>
    <w:rsid w:val="000D5C77"/>
    <w:rsid w:val="000E3193"/>
    <w:rsid w:val="000E691B"/>
    <w:rsid w:val="000F26ED"/>
    <w:rsid w:val="00110BFB"/>
    <w:rsid w:val="00134AAC"/>
    <w:rsid w:val="001528ED"/>
    <w:rsid w:val="001606BD"/>
    <w:rsid w:val="001639B6"/>
    <w:rsid w:val="00191A23"/>
    <w:rsid w:val="001924B9"/>
    <w:rsid w:val="001A495C"/>
    <w:rsid w:val="001A75E9"/>
    <w:rsid w:val="001D558F"/>
    <w:rsid w:val="001E02AD"/>
    <w:rsid w:val="0021265E"/>
    <w:rsid w:val="00215E03"/>
    <w:rsid w:val="00224268"/>
    <w:rsid w:val="0022554A"/>
    <w:rsid w:val="00226A29"/>
    <w:rsid w:val="002552FD"/>
    <w:rsid w:val="002602FB"/>
    <w:rsid w:val="00266218"/>
    <w:rsid w:val="002804DB"/>
    <w:rsid w:val="002A1946"/>
    <w:rsid w:val="002B385C"/>
    <w:rsid w:val="002C731D"/>
    <w:rsid w:val="002D06D0"/>
    <w:rsid w:val="002D1ABE"/>
    <w:rsid w:val="002D34DC"/>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B036F"/>
    <w:rsid w:val="004E1263"/>
    <w:rsid w:val="005044A6"/>
    <w:rsid w:val="00517788"/>
    <w:rsid w:val="00572916"/>
    <w:rsid w:val="00582EAD"/>
    <w:rsid w:val="00590F64"/>
    <w:rsid w:val="005923E5"/>
    <w:rsid w:val="005B567D"/>
    <w:rsid w:val="005B6E48"/>
    <w:rsid w:val="005D0CFC"/>
    <w:rsid w:val="005D19F4"/>
    <w:rsid w:val="005F254A"/>
    <w:rsid w:val="00613AC2"/>
    <w:rsid w:val="006149D3"/>
    <w:rsid w:val="00627E85"/>
    <w:rsid w:val="0065657F"/>
    <w:rsid w:val="00666336"/>
    <w:rsid w:val="0068279A"/>
    <w:rsid w:val="00683E42"/>
    <w:rsid w:val="006A2F18"/>
    <w:rsid w:val="006A5DD9"/>
    <w:rsid w:val="006B2915"/>
    <w:rsid w:val="006B56D7"/>
    <w:rsid w:val="006C0B63"/>
    <w:rsid w:val="006C7601"/>
    <w:rsid w:val="006D16AA"/>
    <w:rsid w:val="006F66AC"/>
    <w:rsid w:val="00701AC5"/>
    <w:rsid w:val="00711D81"/>
    <w:rsid w:val="00731B7B"/>
    <w:rsid w:val="0074576C"/>
    <w:rsid w:val="00754BA5"/>
    <w:rsid w:val="007562C3"/>
    <w:rsid w:val="007C72F6"/>
    <w:rsid w:val="007F7FA0"/>
    <w:rsid w:val="008120DB"/>
    <w:rsid w:val="00816966"/>
    <w:rsid w:val="00817D26"/>
    <w:rsid w:val="00821CD4"/>
    <w:rsid w:val="008423A7"/>
    <w:rsid w:val="008440CC"/>
    <w:rsid w:val="00890F1A"/>
    <w:rsid w:val="0089107E"/>
    <w:rsid w:val="00891604"/>
    <w:rsid w:val="008A68C4"/>
    <w:rsid w:val="008D225B"/>
    <w:rsid w:val="008D5280"/>
    <w:rsid w:val="00921BF8"/>
    <w:rsid w:val="009367F9"/>
    <w:rsid w:val="00947A01"/>
    <w:rsid w:val="00954CB8"/>
    <w:rsid w:val="009642BE"/>
    <w:rsid w:val="00976EE1"/>
    <w:rsid w:val="009872CC"/>
    <w:rsid w:val="009B10F1"/>
    <w:rsid w:val="009B368D"/>
    <w:rsid w:val="009C24D4"/>
    <w:rsid w:val="009E0429"/>
    <w:rsid w:val="009F5211"/>
    <w:rsid w:val="00A13C96"/>
    <w:rsid w:val="00A251BB"/>
    <w:rsid w:val="00A42352"/>
    <w:rsid w:val="00A527E4"/>
    <w:rsid w:val="00A5640D"/>
    <w:rsid w:val="00A729D6"/>
    <w:rsid w:val="00A938BF"/>
    <w:rsid w:val="00AB7BC4"/>
    <w:rsid w:val="00AE23EB"/>
    <w:rsid w:val="00AE2C57"/>
    <w:rsid w:val="00AF4615"/>
    <w:rsid w:val="00B50DF8"/>
    <w:rsid w:val="00B52071"/>
    <w:rsid w:val="00B54EA0"/>
    <w:rsid w:val="00B60EFB"/>
    <w:rsid w:val="00B65366"/>
    <w:rsid w:val="00B77807"/>
    <w:rsid w:val="00B84E46"/>
    <w:rsid w:val="00B93760"/>
    <w:rsid w:val="00B940E9"/>
    <w:rsid w:val="00BA1206"/>
    <w:rsid w:val="00BC7FE6"/>
    <w:rsid w:val="00BE3709"/>
    <w:rsid w:val="00BF394C"/>
    <w:rsid w:val="00C367B7"/>
    <w:rsid w:val="00CA489B"/>
    <w:rsid w:val="00CB6CC8"/>
    <w:rsid w:val="00CC4C93"/>
    <w:rsid w:val="00CF2813"/>
    <w:rsid w:val="00D120D2"/>
    <w:rsid w:val="00D20D7C"/>
    <w:rsid w:val="00D26FCA"/>
    <w:rsid w:val="00D6407C"/>
    <w:rsid w:val="00D81407"/>
    <w:rsid w:val="00D87AF7"/>
    <w:rsid w:val="00DA120C"/>
    <w:rsid w:val="00DC4BEF"/>
    <w:rsid w:val="00E01066"/>
    <w:rsid w:val="00E02641"/>
    <w:rsid w:val="00E05BD8"/>
    <w:rsid w:val="00E10628"/>
    <w:rsid w:val="00E144CD"/>
    <w:rsid w:val="00E2292B"/>
    <w:rsid w:val="00E341E9"/>
    <w:rsid w:val="00E56D25"/>
    <w:rsid w:val="00E9548F"/>
    <w:rsid w:val="00EA6E28"/>
    <w:rsid w:val="00F0752A"/>
    <w:rsid w:val="00F16B39"/>
    <w:rsid w:val="00F20424"/>
    <w:rsid w:val="00F378D0"/>
    <w:rsid w:val="00F6194F"/>
    <w:rsid w:val="00F76A7F"/>
    <w:rsid w:val="00F838E1"/>
    <w:rsid w:val="00F842DC"/>
    <w:rsid w:val="00F876FF"/>
    <w:rsid w:val="00F93A89"/>
    <w:rsid w:val="00F970FA"/>
    <w:rsid w:val="00FA2721"/>
    <w:rsid w:val="00FA3D11"/>
    <w:rsid w:val="00FE1685"/>
    <w:rsid w:val="00FE4F4E"/>
    <w:rsid w:val="00FE530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87769"/>
  <w15:docId w15:val="{58BEBF9B-1EFC-384A-913A-7A4E49BB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163</TotalTime>
  <Pages>10</Pages>
  <Words>3126</Words>
  <Characters>19013</Characters>
  <Application>Microsoft Office Word</Application>
  <DocSecurity>0</DocSecurity>
  <Lines>288</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Happy</cp:lastModifiedBy>
  <cp:revision>38</cp:revision>
  <cp:lastPrinted>2014-09-01T08:36:00Z</cp:lastPrinted>
  <dcterms:created xsi:type="dcterms:W3CDTF">2023-10-09T04:11:00Z</dcterms:created>
  <dcterms:modified xsi:type="dcterms:W3CDTF">2025-06-08T15:02:00Z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