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reporting-checklist-for-diagnostic-test-accuracy-study."/>
      <w:bookmarkEnd w:id="21"/>
      <w:r>
        <w:t xml:space="preserve">Reporting checklist for diagnostic test accuracy study.</w:t>
      </w:r>
    </w:p>
    <w:p>
      <w:pPr>
        <w:pStyle w:val="FirstParagraph"/>
      </w:pPr>
      <w:r>
        <w:t xml:space="preserve">Based on the STARD guidelines.</w:t>
      </w:r>
    </w:p>
    <w:p>
      <w:pPr>
        <w:pStyle w:val="Heading2"/>
      </w:pPr>
      <w:bookmarkStart w:id="22" w:name="instructions-to-authors"/>
      <w:bookmarkEnd w:id="22"/>
      <w:r>
        <w:t xml:space="preserve">Instructions to authors</w:t>
      </w:r>
    </w:p>
    <w:p>
      <w:pPr>
        <w:pStyle w:val="FirstParagraph"/>
      </w:pPr>
      <w:r>
        <w:t xml:space="preserve">Complete this checklist by entering the page numbers from your manuscript where readers will find each of the items listed below.</w:t>
      </w:r>
    </w:p>
    <w:p>
      <w:pPr>
        <w:pStyle w:val="BodyText"/>
      </w:pPr>
      <w:r>
        <w:t xml:space="preserve">Your article may not currently address all the items on the checklist. Please modify your text to include the missing information. If you are certain that an item does not apply, please write "n/a" and provide a short explanation.</w:t>
      </w:r>
    </w:p>
    <w:p>
      <w:pPr>
        <w:pStyle w:val="BodyText"/>
      </w:pPr>
      <w:r>
        <w:t xml:space="preserve">Upload your completed checklist as an extra file when you submit to a journal.</w:t>
      </w:r>
    </w:p>
    <w:p>
      <w:pPr>
        <w:pStyle w:val="BodyText"/>
      </w:pPr>
      <w:r>
        <w:t xml:space="preserve">In your methods section, say that you used the STARDreporting guidelines, and cite them as:</w:t>
      </w:r>
    </w:p>
    <w:p>
      <w:pPr>
        <w:pStyle w:val="BlockText"/>
      </w:pPr>
      <w:r>
        <w:t xml:space="preserve">Bossuyt PM, Reitsma JB, Bruns DE, Gatsonis CA, Glasziou PP, Irwig L, LijmerJG Moher D, Rennie D, de Vet HCW, Kressel HY, Rifai N, Golub RM, Altman DG, Hooft L, Korevaar DA, Cohen JF, For the STARD Group. STARD 2015: An Updated List of Essential Items for Reporting Diagnostic Accuracy Studies.</w:t>
      </w:r>
    </w:p>
    <w:tbl>
      <w:tblPr>
        <w:tblStyle w:val="TableNormal"/>
        <w:tblW w:type="pct" w:w="5000.0"/>
        <w:tblLook w:firstRow="1"/>
      </w:tblPr>
      <w:tblGrid>
        <w:gridCol w:w="330"/>
        <w:gridCol w:w="330"/>
        <w:gridCol w:w="5940"/>
        <w:gridCol w:w="1320"/>
      </w:tblGrid>
      <w:tr>
        <w:trPr>
          <w:cnfStyle w:firstRow="1"/>
        </w:trPr>
        <w:tc>
          <w:tcPr>
            <w:tcBorders>
              <w:bottom w:val="single"/>
            </w:tcBorders>
            <w:vAlign w:val="bottom"/>
          </w:tcPr>
          <w:p>
            <w:pStyle w:val="Compact"/>
          </w:p>
        </w:tc>
        <w:tc>
          <w:tcPr>
            <w:tcBorders>
              <w:bottom w:val="single"/>
            </w:tcBorders>
            <w:vAlign w:val="bottom"/>
          </w:tcPr>
          <w:p>
            <w:pStyle w:val="Compact"/>
          </w:p>
        </w:tc>
        <w:tc>
          <w:tcPr>
            <w:tcBorders>
              <w:bottom w:val="single"/>
            </w:tcBorders>
            <w:vAlign w:val="bottom"/>
          </w:tcPr>
          <w:p>
            <w:pPr>
              <w:pStyle w:val="Compact"/>
              <w:jc w:val="left"/>
            </w:pPr>
            <w:r>
              <w:t xml:space="preserve">Reporting Item</w:t>
            </w:r>
          </w:p>
        </w:tc>
        <w:tc>
          <w:tcPr>
            <w:tcBorders>
              <w:bottom w:val="single"/>
            </w:tcBorders>
            <w:vAlign w:val="bottom"/>
          </w:tcPr>
          <w:p>
            <w:pPr>
              <w:pStyle w:val="Compact"/>
              <w:jc w:val="right"/>
            </w:pPr>
            <w:r>
              <w:t xml:space="preserve">Page Number</w:t>
            </w:r>
          </w:p>
        </w:tc>
      </w:tr>
      <w:tr>
        <w:tc>
          <w:p>
            <w:pPr>
              <w:pStyle w:val="Compact"/>
              <w:jc w:val="left"/>
            </w:pPr>
            <w:r>
              <w:rPr>
                <w:b/>
              </w:rPr>
              <w:t xml:space="preserve">Title or abstract</w:t>
            </w:r>
            <w:r>
              <w:rPr>
                <w:b/>
              </w:rPr>
              <w:t xml:space="preserve"> </w:t>
            </w:r>
          </w:p>
        </w:tc>
        <w:tc>
          <w:p>
            <w:pStyle w:val="Compact"/>
          </w:p>
        </w:tc>
        <w:tc>
          <w:p>
            <w:pStyle w:val="Compact"/>
          </w:p>
        </w:tc>
        <w:tc>
          <w:p>
            <w:pStyle w:val="Compact"/>
          </w:p>
        </w:tc>
      </w:tr>
      <w:tr>
        <w:tc>
          <w:p>
            <w:pPr>
              <w:pStyle w:val="Compact"/>
              <w:jc w:val="left"/>
            </w:pPr>
            <w:r>
              <w:t xml:space="preserve">None</w:t>
            </w:r>
          </w:p>
        </w:tc>
        <w:tc>
          <w:p>
            <w:pPr>
              <w:pStyle w:val="Compact"/>
              <w:jc w:val="left"/>
            </w:pPr>
            <w:hyperlink r:id="rId23">
              <w:r>
                <w:rPr>
                  <w:rStyle w:val="Hyperlink"/>
                </w:rPr>
                <w:t xml:space="preserve">#1</w:t>
              </w:r>
            </w:hyperlink>
          </w:p>
        </w:tc>
        <w:tc>
          <w:p>
            <w:pPr>
              <w:pStyle w:val="Compact"/>
              <w:jc w:val="left"/>
            </w:pPr>
            <w:r>
              <w:t xml:space="preserve">Identification as a study of diagnostic accuracy using at least one measure of accuracy (such as sensitivity, specificity, predictive values, or AUC)</w:t>
            </w:r>
          </w:p>
        </w:tc>
      </w:tr>
      <w:tr>
        <w:tc>
          <w:p>
            <w:pPr>
              <w:pStyle w:val="Compact"/>
              <w:jc w:val="left"/>
            </w:pPr>
            <w:r>
              <w:t xml:space="preserve">3</w:t>
            </w:r>
          </w:p>
        </w:tc>
        <w:tc>
          <w:p>
            <w:pStyle w:val="Compact"/>
          </w:p>
        </w:tc>
      </w:tr>
      <w:tr>
        <w:tc>
          <w:p>
            <w:pPr>
              <w:pStyle w:val="Compact"/>
              <w:jc w:val="left"/>
            </w:pPr>
            <w:r>
              <w:rPr>
                <w:b/>
              </w:rPr>
              <w:t xml:space="preserve">Abstract</w:t>
            </w:r>
          </w:p>
        </w:tc>
        <w:tc>
          <w:p>
            <w:pStyle w:val="Compact"/>
          </w:p>
        </w:tc>
        <w:tc>
          <w:p>
            <w:pStyle w:val="Compact"/>
          </w:p>
        </w:tc>
        <w:tc>
          <w:p>
            <w:pStyle w:val="Compact"/>
          </w:p>
        </w:tc>
      </w:tr>
      <w:tr>
        <w:tc>
          <w:p>
            <w:pPr>
              <w:pStyle w:val="Compact"/>
              <w:jc w:val="left"/>
            </w:pPr>
            <w:r>
              <w:t xml:space="preserve">None</w:t>
            </w:r>
          </w:p>
        </w:tc>
        <w:tc>
          <w:p>
            <w:pPr>
              <w:pStyle w:val="Compact"/>
              <w:jc w:val="left"/>
            </w:pPr>
            <w:hyperlink r:id="rId24">
              <w:r>
                <w:rPr>
                  <w:rStyle w:val="Hyperlink"/>
                </w:rPr>
                <w:t xml:space="preserve">#2</w:t>
              </w:r>
            </w:hyperlink>
          </w:p>
        </w:tc>
        <w:tc>
          <w:p>
            <w:pPr>
              <w:pStyle w:val="Compact"/>
              <w:jc w:val="left"/>
            </w:pPr>
            <w:r>
              <w:t xml:space="preserve">Structured summary of study design, methods, results, and conclusions (for specific guidance, see STARD for Abstracts https://www.equator-network.org/reporting-guidelines/stard-abstracts/)</w:t>
            </w:r>
          </w:p>
        </w:tc>
      </w:tr>
      <w:tr>
        <w:tc>
          <w:p>
            <w:pPr>
              <w:pStyle w:val="Compact"/>
              <w:jc w:val="left"/>
            </w:pPr>
            <w:r>
              <w:t xml:space="preserve">2</w:t>
            </w:r>
          </w:p>
        </w:tc>
        <w:tc>
          <w:p>
            <w:pStyle w:val="Compact"/>
          </w:p>
        </w:tc>
      </w:tr>
      <w:tr>
        <w:tc>
          <w:p>
            <w:pPr>
              <w:pStyle w:val="Compact"/>
              <w:jc w:val="left"/>
            </w:pPr>
            <w:r>
              <w:rPr>
                <w:b/>
              </w:rPr>
              <w:t xml:space="preserve">Introduction</w:t>
            </w:r>
          </w:p>
        </w:tc>
        <w:tc>
          <w:p>
            <w:pStyle w:val="Compact"/>
          </w:p>
        </w:tc>
        <w:tc>
          <w:p>
            <w:pStyle w:val="Compact"/>
          </w:p>
        </w:tc>
        <w:tc>
          <w:p>
            <w:pStyle w:val="Compact"/>
          </w:p>
        </w:tc>
      </w:tr>
      <w:tr>
        <w:tc>
          <w:p>
            <w:pPr>
              <w:pStyle w:val="Compact"/>
              <w:jc w:val="left"/>
            </w:pPr>
            <w:r>
              <w:t xml:space="preserve">None</w:t>
            </w:r>
          </w:p>
        </w:tc>
        <w:tc>
          <w:p>
            <w:pPr>
              <w:pStyle w:val="Compact"/>
              <w:jc w:val="left"/>
            </w:pPr>
            <w:hyperlink r:id="rId25">
              <w:r>
                <w:rPr>
                  <w:rStyle w:val="Hyperlink"/>
                </w:rPr>
                <w:t xml:space="preserve">#3</w:t>
              </w:r>
            </w:hyperlink>
          </w:p>
        </w:tc>
        <w:tc>
          <w:p>
            <w:pPr>
              <w:pStyle w:val="Compact"/>
              <w:jc w:val="left"/>
            </w:pPr>
            <w:r>
              <w:t xml:space="preserve">Scientific and clinical background, including the intended use and clinical role of the index test</w:t>
            </w:r>
          </w:p>
        </w:tc>
        <w:tc>
          <w:p>
            <w:pPr>
              <w:pStyle w:val="Compact"/>
              <w:jc w:val="right"/>
            </w:pPr>
            <w:r>
              <w:t xml:space="preserve">4</w:t>
            </w:r>
          </w:p>
        </w:tc>
      </w:tr>
      <w:tr>
        <w:tc>
          <w:p>
            <w:pPr>
              <w:pStyle w:val="Compact"/>
              <w:jc w:val="left"/>
            </w:pPr>
            <w:r>
              <w:t xml:space="preserve">None</w:t>
            </w:r>
          </w:p>
        </w:tc>
        <w:tc>
          <w:p>
            <w:pPr>
              <w:pStyle w:val="Compact"/>
              <w:jc w:val="left"/>
            </w:pPr>
            <w:hyperlink r:id="rId26">
              <w:r>
                <w:rPr>
                  <w:rStyle w:val="Hyperlink"/>
                </w:rPr>
                <w:t xml:space="preserve">#4</w:t>
              </w:r>
            </w:hyperlink>
          </w:p>
        </w:tc>
        <w:tc>
          <w:p>
            <w:pPr>
              <w:pStyle w:val="Compact"/>
              <w:jc w:val="left"/>
            </w:pPr>
            <w:r>
              <w:t xml:space="preserve">Study objectives and hypotheses</w:t>
            </w:r>
          </w:p>
        </w:tc>
        <w:tc>
          <w:p>
            <w:pPr>
              <w:pStyle w:val="Compact"/>
              <w:jc w:val="right"/>
            </w:pPr>
            <w:r>
              <w:t xml:space="preserve">5</w:t>
            </w:r>
          </w:p>
        </w:tc>
      </w:tr>
      <w:tr>
        <w:tc>
          <w:p>
            <w:pPr>
              <w:pStyle w:val="Compact"/>
              <w:jc w:val="left"/>
            </w:pPr>
            <w:r>
              <w:rPr>
                <w:b/>
              </w:rPr>
              <w:t xml:space="preserve">Methods</w:t>
            </w:r>
          </w:p>
        </w:tc>
        <w:tc>
          <w:p>
            <w:pStyle w:val="Compact"/>
          </w:p>
        </w:tc>
        <w:tc>
          <w:p>
            <w:pStyle w:val="Compact"/>
          </w:p>
        </w:tc>
        <w:tc>
          <w:p>
            <w:pStyle w:val="Compact"/>
          </w:p>
        </w:tc>
      </w:tr>
      <w:tr>
        <w:tc>
          <w:p>
            <w:pPr>
              <w:pStyle w:val="Compact"/>
              <w:jc w:val="left"/>
            </w:pPr>
            <w:r>
              <w:t xml:space="preserve">Study design</w:t>
            </w:r>
          </w:p>
        </w:tc>
        <w:tc>
          <w:p>
            <w:pPr>
              <w:pStyle w:val="Compact"/>
              <w:jc w:val="left"/>
            </w:pPr>
            <w:hyperlink r:id="rId27">
              <w:r>
                <w:rPr>
                  <w:rStyle w:val="Hyperlink"/>
                </w:rPr>
                <w:t xml:space="preserve">#5</w:t>
              </w:r>
            </w:hyperlink>
          </w:p>
        </w:tc>
        <w:tc>
          <w:p>
            <w:pPr>
              <w:pStyle w:val="Compact"/>
              <w:jc w:val="left"/>
            </w:pPr>
            <w:r>
              <w:t xml:space="preserve">Whether data collection was planned before the index test and reference standard were performed (prospective study) or after (retrospective study)</w:t>
            </w:r>
          </w:p>
        </w:tc>
      </w:tr>
      <w:tr>
        <w:tc>
          <w:p>
            <w:pPr>
              <w:pStyle w:val="Compact"/>
              <w:jc w:val="left"/>
            </w:pPr>
            <w:r>
              <w:t xml:space="preserve">5</w:t>
            </w:r>
          </w:p>
        </w:tc>
        <w:tc>
          <w:p>
            <w:pStyle w:val="Compact"/>
          </w:p>
        </w:tc>
      </w:tr>
      <w:tr>
        <w:tc>
          <w:p>
            <w:pPr>
              <w:pStyle w:val="Compact"/>
              <w:jc w:val="left"/>
            </w:pPr>
            <w:r>
              <w:t xml:space="preserve">Participants</w:t>
            </w:r>
          </w:p>
        </w:tc>
        <w:tc>
          <w:p>
            <w:pPr>
              <w:pStyle w:val="Compact"/>
              <w:jc w:val="left"/>
            </w:pPr>
            <w:hyperlink r:id="rId28">
              <w:r>
                <w:rPr>
                  <w:rStyle w:val="Hyperlink"/>
                </w:rPr>
                <w:t xml:space="preserve">#6</w:t>
              </w:r>
            </w:hyperlink>
          </w:p>
        </w:tc>
        <w:tc>
          <w:p>
            <w:pPr>
              <w:pStyle w:val="Compact"/>
              <w:jc w:val="left"/>
            </w:pPr>
            <w:r>
              <w:t xml:space="preserve">Eligibility criteria</w:t>
            </w:r>
          </w:p>
        </w:tc>
        <w:tc>
          <w:p>
            <w:pPr>
              <w:pStyle w:val="Compact"/>
              <w:jc w:val="right"/>
            </w:pPr>
            <w:r>
              <w:t xml:space="preserve">6</w:t>
            </w:r>
          </w:p>
        </w:tc>
      </w:tr>
      <w:tr>
        <w:tc>
          <w:p>
            <w:pPr>
              <w:pStyle w:val="Compact"/>
              <w:jc w:val="left"/>
            </w:pPr>
            <w:r>
              <w:t xml:space="preserve">Participants</w:t>
            </w:r>
          </w:p>
        </w:tc>
        <w:tc>
          <w:p>
            <w:pPr>
              <w:pStyle w:val="Compact"/>
              <w:jc w:val="left"/>
            </w:pPr>
            <w:hyperlink r:id="rId29">
              <w:r>
                <w:rPr>
                  <w:rStyle w:val="Hyperlink"/>
                </w:rPr>
                <w:t xml:space="preserve">#7</w:t>
              </w:r>
            </w:hyperlink>
          </w:p>
        </w:tc>
        <w:tc>
          <w:p>
            <w:pPr>
              <w:pStyle w:val="Compact"/>
              <w:jc w:val="left"/>
            </w:pPr>
            <w:r>
              <w:t xml:space="preserve">On what basis potentially eligible participants were identified (such as symptoms, results from previous tests, inclusion in registry)</w:t>
            </w:r>
          </w:p>
        </w:tc>
      </w:tr>
      <w:tr>
        <w:tc>
          <w:p>
            <w:pPr>
              <w:pStyle w:val="Compact"/>
              <w:jc w:val="left"/>
            </w:pPr>
            <w:r>
              <w:t xml:space="preserve">6</w:t>
            </w:r>
          </w:p>
        </w:tc>
        <w:tc>
          <w:p>
            <w:pStyle w:val="Compact"/>
          </w:p>
        </w:tc>
      </w:tr>
      <w:tr>
        <w:tc>
          <w:p>
            <w:pPr>
              <w:pStyle w:val="Compact"/>
              <w:jc w:val="left"/>
            </w:pPr>
            <w:r>
              <w:t xml:space="preserve">Participants</w:t>
            </w:r>
          </w:p>
        </w:tc>
        <w:tc>
          <w:p>
            <w:pPr>
              <w:pStyle w:val="Compact"/>
              <w:jc w:val="left"/>
            </w:pPr>
            <w:hyperlink r:id="rId30">
              <w:r>
                <w:rPr>
                  <w:rStyle w:val="Hyperlink"/>
                </w:rPr>
                <w:t xml:space="preserve">#8</w:t>
              </w:r>
            </w:hyperlink>
          </w:p>
        </w:tc>
        <w:tc>
          <w:p>
            <w:pPr>
              <w:pStyle w:val="Compact"/>
              <w:jc w:val="left"/>
            </w:pPr>
            <w:r>
              <w:t xml:space="preserve">Where and when potentially eligible participants were identified (setting, location and dates)</w:t>
            </w:r>
          </w:p>
        </w:tc>
        <w:tc>
          <w:p>
            <w:pPr>
              <w:pStyle w:val="Compact"/>
              <w:jc w:val="right"/>
            </w:pPr>
            <w:r>
              <w:t xml:space="preserve">5</w:t>
            </w:r>
          </w:p>
        </w:tc>
      </w:tr>
      <w:tr>
        <w:tc>
          <w:p>
            <w:pPr>
              <w:pStyle w:val="Compact"/>
              <w:jc w:val="left"/>
            </w:pPr>
            <w:r>
              <w:t xml:space="preserve">Participants</w:t>
            </w:r>
          </w:p>
        </w:tc>
        <w:tc>
          <w:p>
            <w:pPr>
              <w:pStyle w:val="Compact"/>
              <w:jc w:val="left"/>
            </w:pPr>
            <w:hyperlink r:id="rId31">
              <w:r>
                <w:rPr>
                  <w:rStyle w:val="Hyperlink"/>
                </w:rPr>
                <w:t xml:space="preserve">#9</w:t>
              </w:r>
            </w:hyperlink>
          </w:p>
        </w:tc>
        <w:tc>
          <w:p>
            <w:pPr>
              <w:pStyle w:val="Compact"/>
              <w:jc w:val="left"/>
            </w:pPr>
            <w:r>
              <w:t xml:space="preserve">Whether participants formed a consecutive, random or convenience series</w:t>
            </w:r>
          </w:p>
        </w:tc>
        <w:tc>
          <w:p>
            <w:pPr>
              <w:pStyle w:val="Compact"/>
              <w:jc w:val="right"/>
            </w:pPr>
            <w:r>
              <w:t xml:space="preserve">6</w:t>
            </w:r>
          </w:p>
        </w:tc>
      </w:tr>
      <w:tr>
        <w:tc>
          <w:p>
            <w:pPr>
              <w:pStyle w:val="Compact"/>
              <w:jc w:val="left"/>
            </w:pPr>
            <w:r>
              <w:t xml:space="preserve">Test methods</w:t>
            </w:r>
          </w:p>
        </w:tc>
        <w:tc>
          <w:p>
            <w:pPr>
              <w:pStyle w:val="Compact"/>
              <w:jc w:val="left"/>
            </w:pPr>
            <w:hyperlink r:id="rId32">
              <w:r>
                <w:rPr>
                  <w:rStyle w:val="Hyperlink"/>
                </w:rPr>
                <w:t xml:space="preserve">#10</w:t>
              </w:r>
            </w:hyperlink>
          </w:p>
        </w:tc>
        <w:tc>
          <w:p>
            <w:pPr>
              <w:pStyle w:val="Compact"/>
              <w:jc w:val="left"/>
            </w:pPr>
            <w:r>
              <w:t xml:space="preserve">Index and reference tests in sufficient detail to allow replication</w:t>
            </w:r>
          </w:p>
        </w:tc>
        <w:tc>
          <w:p>
            <w:pPr>
              <w:pStyle w:val="Compact"/>
              <w:jc w:val="right"/>
            </w:pPr>
            <w:r>
              <w:t xml:space="preserve">7</w:t>
            </w:r>
          </w:p>
        </w:tc>
      </w:tr>
      <w:tr>
        <w:tc>
          <w:p>
            <w:pPr>
              <w:pStyle w:val="Compact"/>
              <w:jc w:val="left"/>
            </w:pPr>
            <w:r>
              <w:t xml:space="preserve">Test methods</w:t>
            </w:r>
          </w:p>
        </w:tc>
        <w:tc>
          <w:p>
            <w:pPr>
              <w:pStyle w:val="Compact"/>
              <w:jc w:val="left"/>
            </w:pPr>
            <w:hyperlink r:id="rId33">
              <w:r>
                <w:rPr>
                  <w:rStyle w:val="Hyperlink"/>
                </w:rPr>
                <w:t xml:space="preserve">#11</w:t>
              </w:r>
            </w:hyperlink>
          </w:p>
        </w:tc>
        <w:tc>
          <w:p>
            <w:pPr>
              <w:pStyle w:val="Compact"/>
              <w:jc w:val="left"/>
            </w:pPr>
            <w:r>
              <w:t xml:space="preserve">Rationale for choosing the reference standard (if alternatives exist)</w:t>
            </w:r>
          </w:p>
        </w:tc>
        <w:tc>
          <w:p>
            <w:pPr>
              <w:pStyle w:val="Compact"/>
              <w:jc w:val="right"/>
            </w:pPr>
            <w:r>
              <w:t xml:space="preserve">7</w:t>
            </w:r>
          </w:p>
        </w:tc>
      </w:tr>
      <w:tr>
        <w:tc>
          <w:p>
            <w:pPr>
              <w:pStyle w:val="Compact"/>
              <w:jc w:val="left"/>
            </w:pPr>
            <w:r>
              <w:t xml:space="preserve">Test methods</w:t>
            </w:r>
          </w:p>
        </w:tc>
        <w:tc>
          <w:p>
            <w:pPr>
              <w:pStyle w:val="Compact"/>
              <w:jc w:val="left"/>
            </w:pPr>
            <w:hyperlink r:id="rId34">
              <w:r>
                <w:rPr>
                  <w:rStyle w:val="Hyperlink"/>
                </w:rPr>
                <w:t xml:space="preserve">#12</w:t>
              </w:r>
            </w:hyperlink>
          </w:p>
        </w:tc>
        <w:tc>
          <w:p>
            <w:pPr>
              <w:pStyle w:val="Compact"/>
              <w:jc w:val="left"/>
            </w:pPr>
            <w:r>
              <w:t xml:space="preserve">Definition of and rationale for test positivity cut-offs or result categories of the index and reference tests, distinguishing pre-specified from exploratory</w:t>
            </w:r>
          </w:p>
        </w:tc>
      </w:tr>
      <w:tr>
        <w:tc>
          <w:p>
            <w:pPr>
              <w:pStyle w:val="Compact"/>
              <w:jc w:val="left"/>
            </w:pPr>
            <w:r>
              <w:t xml:space="preserve">7</w:t>
            </w:r>
          </w:p>
        </w:tc>
        <w:tc>
          <w:p>
            <w:pStyle w:val="Compact"/>
          </w:p>
        </w:tc>
      </w:tr>
      <w:tr>
        <w:tc>
          <w:p>
            <w:pPr>
              <w:pStyle w:val="Compact"/>
              <w:jc w:val="left"/>
            </w:pPr>
            <w:r>
              <w:t xml:space="preserve">Test methods</w:t>
            </w:r>
          </w:p>
        </w:tc>
        <w:tc>
          <w:p>
            <w:pPr>
              <w:pStyle w:val="Compact"/>
              <w:jc w:val="left"/>
            </w:pPr>
            <w:hyperlink r:id="rId35">
              <w:r>
                <w:rPr>
                  <w:rStyle w:val="Hyperlink"/>
                </w:rPr>
                <w:t xml:space="preserve">#13</w:t>
              </w:r>
            </w:hyperlink>
          </w:p>
        </w:tc>
        <w:tc>
          <w:p>
            <w:pPr>
              <w:pStyle w:val="Compact"/>
              <w:jc w:val="left"/>
            </w:pPr>
            <w:r>
              <w:t xml:space="preserve">Whether clinical information and reference standard results were available to the performers / readers of the index test; Whether clinical information and index test results were available to the assessors of the reference standard</w:t>
            </w:r>
          </w:p>
        </w:tc>
      </w:tr>
      <w:tr>
        <w:tc>
          <w:p>
            <w:pPr>
              <w:pStyle w:val="Compact"/>
              <w:jc w:val="left"/>
            </w:pPr>
            <w:r>
              <w:t xml:space="preserve">8</w:t>
            </w:r>
          </w:p>
        </w:tc>
        <w:tc>
          <w:p>
            <w:pStyle w:val="Compact"/>
          </w:p>
        </w:tc>
      </w:tr>
      <w:tr>
        <w:tc>
          <w:p>
            <w:pPr>
              <w:pStyle w:val="Compact"/>
              <w:jc w:val="left"/>
            </w:pPr>
            <w:r>
              <w:t xml:space="preserve">Analysis</w:t>
            </w:r>
          </w:p>
        </w:tc>
        <w:tc>
          <w:p>
            <w:pPr>
              <w:pStyle w:val="Compact"/>
              <w:jc w:val="left"/>
            </w:pPr>
            <w:hyperlink r:id="rId36">
              <w:r>
                <w:rPr>
                  <w:rStyle w:val="Hyperlink"/>
                </w:rPr>
                <w:t xml:space="preserve">#14</w:t>
              </w:r>
            </w:hyperlink>
          </w:p>
        </w:tc>
        <w:tc>
          <w:p>
            <w:pPr>
              <w:pStyle w:val="Compact"/>
              <w:jc w:val="left"/>
            </w:pPr>
            <w:r>
              <w:t xml:space="preserve">Methods for estimating or comparing measures of diagnostic accuracy</w:t>
            </w:r>
          </w:p>
        </w:tc>
        <w:tc>
          <w:p>
            <w:pPr>
              <w:pStyle w:val="Compact"/>
              <w:jc w:val="right"/>
            </w:pPr>
            <w:r>
              <w:t xml:space="preserve">10</w:t>
            </w:r>
          </w:p>
        </w:tc>
      </w:tr>
      <w:tr>
        <w:tc>
          <w:p>
            <w:pPr>
              <w:pStyle w:val="Compact"/>
              <w:jc w:val="left"/>
            </w:pPr>
            <w:r>
              <w:t xml:space="preserve">Analysis</w:t>
            </w:r>
          </w:p>
        </w:tc>
        <w:tc>
          <w:p>
            <w:pPr>
              <w:pStyle w:val="Compact"/>
              <w:jc w:val="left"/>
            </w:pPr>
            <w:hyperlink r:id="rId37">
              <w:r>
                <w:rPr>
                  <w:rStyle w:val="Hyperlink"/>
                </w:rPr>
                <w:t xml:space="preserve">#15</w:t>
              </w:r>
            </w:hyperlink>
          </w:p>
        </w:tc>
        <w:tc>
          <w:p>
            <w:pPr>
              <w:pStyle w:val="Compact"/>
              <w:jc w:val="left"/>
            </w:pPr>
            <w:r>
              <w:t xml:space="preserve">How indeterminate index test or reference standard results were handled</w:t>
            </w:r>
          </w:p>
        </w:tc>
        <w:tc>
          <w:p>
            <w:pPr>
              <w:pStyle w:val="Compact"/>
              <w:jc w:val="right"/>
            </w:pPr>
            <w:r>
              <w:t xml:space="preserve">10</w:t>
            </w:r>
          </w:p>
        </w:tc>
      </w:tr>
      <w:tr>
        <w:tc>
          <w:p>
            <w:pPr>
              <w:pStyle w:val="Compact"/>
              <w:jc w:val="left"/>
            </w:pPr>
            <w:r>
              <w:t xml:space="preserve">Analysis</w:t>
            </w:r>
          </w:p>
        </w:tc>
        <w:tc>
          <w:p>
            <w:pPr>
              <w:pStyle w:val="Compact"/>
              <w:jc w:val="left"/>
            </w:pPr>
            <w:hyperlink r:id="rId38">
              <w:r>
                <w:rPr>
                  <w:rStyle w:val="Hyperlink"/>
                </w:rPr>
                <w:t xml:space="preserve">#16</w:t>
              </w:r>
            </w:hyperlink>
          </w:p>
        </w:tc>
        <w:tc>
          <w:p>
            <w:pPr>
              <w:pStyle w:val="Compact"/>
              <w:jc w:val="left"/>
            </w:pPr>
            <w:r>
              <w:t xml:space="preserve">How missing data on the index test and reference standard were handled</w:t>
            </w:r>
          </w:p>
        </w:tc>
        <w:tc>
          <w:p>
            <w:pPr>
              <w:pStyle w:val="Compact"/>
              <w:jc w:val="right"/>
            </w:pPr>
            <w:r>
              <w:t xml:space="preserve">11</w:t>
            </w:r>
          </w:p>
        </w:tc>
      </w:tr>
      <w:tr>
        <w:tc>
          <w:p>
            <w:pPr>
              <w:pStyle w:val="Compact"/>
              <w:jc w:val="left"/>
            </w:pPr>
            <w:r>
              <w:t xml:space="preserve">Analysis</w:t>
            </w:r>
          </w:p>
        </w:tc>
        <w:tc>
          <w:p>
            <w:pPr>
              <w:pStyle w:val="Compact"/>
              <w:jc w:val="left"/>
            </w:pPr>
            <w:hyperlink r:id="rId39">
              <w:r>
                <w:rPr>
                  <w:rStyle w:val="Hyperlink"/>
                </w:rPr>
                <w:t xml:space="preserve">#17</w:t>
              </w:r>
            </w:hyperlink>
          </w:p>
        </w:tc>
        <w:tc>
          <w:p>
            <w:pPr>
              <w:pStyle w:val="Compact"/>
              <w:jc w:val="left"/>
            </w:pPr>
            <w:r>
              <w:t xml:space="preserve">Any analyses of variability in diagnostic accuracy, distinguishing pre-specified from exploratory</w:t>
            </w:r>
          </w:p>
        </w:tc>
        <w:tc>
          <w:p>
            <w:pPr>
              <w:pStyle w:val="Compact"/>
              <w:jc w:val="right"/>
            </w:pPr>
            <w:r>
              <w:t xml:space="preserve">10</w:t>
            </w:r>
          </w:p>
        </w:tc>
      </w:tr>
      <w:tr>
        <w:tc>
          <w:p>
            <w:pPr>
              <w:pStyle w:val="Compact"/>
              <w:jc w:val="left"/>
            </w:pPr>
            <w:r>
              <w:t xml:space="preserve">Analysis</w:t>
            </w:r>
          </w:p>
        </w:tc>
        <w:tc>
          <w:p>
            <w:pPr>
              <w:pStyle w:val="Compact"/>
              <w:jc w:val="left"/>
            </w:pPr>
            <w:hyperlink r:id="rId40">
              <w:r>
                <w:rPr>
                  <w:rStyle w:val="Hyperlink"/>
                </w:rPr>
                <w:t xml:space="preserve">#18</w:t>
              </w:r>
            </w:hyperlink>
          </w:p>
        </w:tc>
        <w:tc>
          <w:p>
            <w:pPr>
              <w:pStyle w:val="Compact"/>
              <w:jc w:val="left"/>
            </w:pPr>
            <w:r>
              <w:t xml:space="preserve">Intended sample size and how it was determined</w:t>
            </w:r>
          </w:p>
        </w:tc>
        <w:tc>
          <w:p>
            <w:pPr>
              <w:pStyle w:val="Compact"/>
              <w:jc w:val="right"/>
            </w:pPr>
            <w:r>
              <w:t xml:space="preserve">10</w:t>
            </w:r>
          </w:p>
        </w:tc>
      </w:tr>
      <w:tr>
        <w:tc>
          <w:p>
            <w:pPr>
              <w:pStyle w:val="Compact"/>
              <w:jc w:val="left"/>
            </w:pPr>
            <w:r>
              <w:rPr>
                <w:b/>
              </w:rPr>
              <w:t xml:space="preserve">Results</w:t>
            </w:r>
          </w:p>
        </w:tc>
        <w:tc>
          <w:p>
            <w:pStyle w:val="Compact"/>
          </w:p>
        </w:tc>
        <w:tc>
          <w:p>
            <w:pStyle w:val="Compact"/>
          </w:p>
        </w:tc>
        <w:tc>
          <w:p>
            <w:pStyle w:val="Compact"/>
          </w:p>
        </w:tc>
      </w:tr>
      <w:tr>
        <w:tc>
          <w:p>
            <w:pPr>
              <w:pStyle w:val="Compact"/>
              <w:jc w:val="left"/>
            </w:pPr>
            <w:r>
              <w:t xml:space="preserve">Participants</w:t>
            </w:r>
          </w:p>
        </w:tc>
        <w:tc>
          <w:p>
            <w:pPr>
              <w:pStyle w:val="Compact"/>
              <w:jc w:val="left"/>
            </w:pPr>
            <w:hyperlink r:id="rId41">
              <w:r>
                <w:rPr>
                  <w:rStyle w:val="Hyperlink"/>
                </w:rPr>
                <w:t xml:space="preserve">#19</w:t>
              </w:r>
            </w:hyperlink>
          </w:p>
        </w:tc>
        <w:tc>
          <w:p>
            <w:pPr>
              <w:pStyle w:val="Compact"/>
              <w:jc w:val="left"/>
            </w:pPr>
            <w:r>
              <w:t xml:space="preserve">Flow of participants, using a diagram</w:t>
            </w:r>
          </w:p>
        </w:tc>
        <w:tc>
          <w:p>
            <w:pPr>
              <w:pStyle w:val="Compact"/>
              <w:jc w:val="right"/>
            </w:pPr>
            <w:r>
              <w:t xml:space="preserve">11</w:t>
            </w:r>
          </w:p>
        </w:tc>
      </w:tr>
      <w:tr>
        <w:tc>
          <w:p>
            <w:pPr>
              <w:pStyle w:val="Compact"/>
              <w:jc w:val="left"/>
            </w:pPr>
            <w:r>
              <w:t xml:space="preserve">Participants</w:t>
            </w:r>
          </w:p>
        </w:tc>
        <w:tc>
          <w:p>
            <w:pPr>
              <w:pStyle w:val="Compact"/>
              <w:jc w:val="left"/>
            </w:pPr>
            <w:hyperlink r:id="rId42">
              <w:r>
                <w:rPr>
                  <w:rStyle w:val="Hyperlink"/>
                </w:rPr>
                <w:t xml:space="preserve">#20</w:t>
              </w:r>
            </w:hyperlink>
          </w:p>
        </w:tc>
        <w:tc>
          <w:p>
            <w:pPr>
              <w:pStyle w:val="Compact"/>
              <w:jc w:val="left"/>
            </w:pPr>
            <w:r>
              <w:t xml:space="preserve">Baseline demographic and clinical characteristics of participants</w:t>
            </w:r>
          </w:p>
        </w:tc>
        <w:tc>
          <w:p>
            <w:pPr>
              <w:pStyle w:val="Compact"/>
              <w:jc w:val="right"/>
            </w:pPr>
            <w:r>
              <w:t xml:space="preserve">11</w:t>
            </w:r>
          </w:p>
        </w:tc>
      </w:tr>
      <w:tr>
        <w:tc>
          <w:p>
            <w:pPr>
              <w:pStyle w:val="Compact"/>
              <w:jc w:val="left"/>
            </w:pPr>
            <w:r>
              <w:t xml:space="preserve">Participants</w:t>
            </w:r>
          </w:p>
        </w:tc>
        <w:tc>
          <w:p>
            <w:pPr>
              <w:pStyle w:val="Compact"/>
              <w:jc w:val="left"/>
            </w:pPr>
            <w:hyperlink r:id="rId43">
              <w:r>
                <w:rPr>
                  <w:rStyle w:val="Hyperlink"/>
                </w:rPr>
                <w:t xml:space="preserve">#21</w:t>
              </w:r>
            </w:hyperlink>
          </w:p>
        </w:tc>
        <w:tc>
          <w:p>
            <w:pPr>
              <w:pStyle w:val="Compact"/>
              <w:jc w:val="left"/>
            </w:pPr>
            <w:r>
              <w:t xml:space="preserve">Distribution of severity of disease in those with the target condition, and distribution of alternative diagnoses in those without the target condition</w:t>
            </w:r>
          </w:p>
        </w:tc>
        <w:tc>
          <w:p>
            <w:pPr>
              <w:pStyle w:val="Compact"/>
              <w:jc w:val="right"/>
            </w:pPr>
            <w:r>
              <w:t xml:space="preserve">12</w:t>
            </w:r>
          </w:p>
        </w:tc>
      </w:tr>
      <w:tr>
        <w:tc>
          <w:p>
            <w:pPr>
              <w:pStyle w:val="Compact"/>
              <w:jc w:val="left"/>
            </w:pPr>
            <w:r>
              <w:t xml:space="preserve">Participants</w:t>
            </w:r>
          </w:p>
        </w:tc>
        <w:tc>
          <w:p>
            <w:pPr>
              <w:pStyle w:val="Compact"/>
              <w:jc w:val="left"/>
            </w:pPr>
            <w:hyperlink r:id="rId44">
              <w:r>
                <w:rPr>
                  <w:rStyle w:val="Hyperlink"/>
                </w:rPr>
                <w:t xml:space="preserve">#22</w:t>
              </w:r>
            </w:hyperlink>
          </w:p>
        </w:tc>
        <w:tc>
          <w:p>
            <w:pPr>
              <w:pStyle w:val="Compact"/>
              <w:jc w:val="left"/>
            </w:pPr>
            <w:r>
              <w:t xml:space="preserve">Time interval and any clinical interventions between index test and reference standard</w:t>
            </w:r>
          </w:p>
        </w:tc>
        <w:tc>
          <w:p>
            <w:pPr>
              <w:pStyle w:val="Compact"/>
              <w:jc w:val="right"/>
            </w:pPr>
            <w:r>
              <w:t xml:space="preserve">12</w:t>
            </w:r>
          </w:p>
        </w:tc>
      </w:tr>
      <w:tr>
        <w:tc>
          <w:p>
            <w:pPr>
              <w:pStyle w:val="Compact"/>
              <w:jc w:val="left"/>
            </w:pPr>
            <w:r>
              <w:t xml:space="preserve">Test results</w:t>
            </w:r>
          </w:p>
        </w:tc>
        <w:tc>
          <w:p>
            <w:pPr>
              <w:pStyle w:val="Compact"/>
              <w:jc w:val="left"/>
            </w:pPr>
            <w:hyperlink r:id="rId45">
              <w:r>
                <w:rPr>
                  <w:rStyle w:val="Hyperlink"/>
                </w:rPr>
                <w:t xml:space="preserve">#23</w:t>
              </w:r>
            </w:hyperlink>
          </w:p>
        </w:tc>
        <w:tc>
          <w:p>
            <w:pPr>
              <w:pStyle w:val="Compact"/>
              <w:jc w:val="left"/>
            </w:pPr>
            <w:r>
              <w:t xml:space="preserve">Cross tabulation of the index test results (or their distribution) by the results of the reference standard</w:t>
            </w:r>
          </w:p>
        </w:tc>
      </w:tr>
      <w:tr>
        <w:tc>
          <w:p>
            <w:pPr>
              <w:pStyle w:val="Compact"/>
              <w:jc w:val="left"/>
            </w:pPr>
            <w:r>
              <w:t xml:space="preserve">13</w:t>
            </w:r>
          </w:p>
        </w:tc>
        <w:tc>
          <w:p>
            <w:pStyle w:val="Compact"/>
          </w:p>
        </w:tc>
      </w:tr>
      <w:tr>
        <w:tc>
          <w:p>
            <w:pPr>
              <w:pStyle w:val="Compact"/>
              <w:jc w:val="left"/>
            </w:pPr>
            <w:r>
              <w:t xml:space="preserve">Test results</w:t>
            </w:r>
          </w:p>
        </w:tc>
        <w:tc>
          <w:p>
            <w:pPr>
              <w:pStyle w:val="Compact"/>
              <w:jc w:val="left"/>
            </w:pPr>
            <w:hyperlink r:id="rId46">
              <w:r>
                <w:rPr>
                  <w:rStyle w:val="Hyperlink"/>
                </w:rPr>
                <w:t xml:space="preserve">#24</w:t>
              </w:r>
            </w:hyperlink>
          </w:p>
        </w:tc>
        <w:tc>
          <w:p>
            <w:pPr>
              <w:pStyle w:val="Compact"/>
              <w:jc w:val="left"/>
            </w:pPr>
            <w:r>
              <w:t xml:space="preserve">Estimates of diagnostic accuracy and their precision (such as 95% confidence intervals)</w:t>
            </w:r>
          </w:p>
        </w:tc>
        <w:tc>
          <w:p>
            <w:pPr>
              <w:pStyle w:val="Compact"/>
              <w:jc w:val="right"/>
            </w:pPr>
            <w:r>
              <w:t xml:space="preserve">13</w:t>
            </w:r>
          </w:p>
        </w:tc>
      </w:tr>
      <w:tr>
        <w:tc>
          <w:p>
            <w:pPr>
              <w:pStyle w:val="Compact"/>
              <w:jc w:val="left"/>
            </w:pPr>
            <w:r>
              <w:t xml:space="preserve">Test results</w:t>
            </w:r>
          </w:p>
        </w:tc>
        <w:tc>
          <w:p>
            <w:pPr>
              <w:pStyle w:val="Compact"/>
              <w:jc w:val="left"/>
            </w:pPr>
            <w:hyperlink r:id="rId47">
              <w:r>
                <w:rPr>
                  <w:rStyle w:val="Hyperlink"/>
                </w:rPr>
                <w:t xml:space="preserve">#25</w:t>
              </w:r>
            </w:hyperlink>
          </w:p>
        </w:tc>
        <w:tc>
          <w:p>
            <w:pPr>
              <w:pStyle w:val="Compact"/>
              <w:jc w:val="left"/>
            </w:pPr>
            <w:r>
              <w:t xml:space="preserve">Any adverse events from performing the index test or the reference standard</w:t>
            </w:r>
          </w:p>
        </w:tc>
        <w:tc>
          <w:p>
            <w:pPr>
              <w:pStyle w:val="Compact"/>
              <w:jc w:val="right"/>
            </w:pPr>
            <w:r>
              <w:t xml:space="preserve">14</w:t>
            </w:r>
          </w:p>
        </w:tc>
      </w:tr>
      <w:tr>
        <w:tc>
          <w:p>
            <w:pPr>
              <w:pStyle w:val="Compact"/>
              <w:jc w:val="left"/>
            </w:pPr>
            <w:r>
              <w:rPr>
                <w:b/>
              </w:rPr>
              <w:t xml:space="preserve">Discussion</w:t>
            </w:r>
          </w:p>
        </w:tc>
        <w:tc>
          <w:p>
            <w:pStyle w:val="Compact"/>
          </w:p>
        </w:tc>
        <w:tc>
          <w:p>
            <w:pStyle w:val="Compact"/>
          </w:p>
        </w:tc>
        <w:tc>
          <w:p>
            <w:pStyle w:val="Compact"/>
          </w:p>
        </w:tc>
      </w:tr>
      <w:tr>
        <w:tc>
          <w:p>
            <w:pPr>
              <w:pStyle w:val="Compact"/>
              <w:jc w:val="left"/>
            </w:pPr>
            <w:r>
              <w:t xml:space="preserve">None</w:t>
            </w:r>
          </w:p>
        </w:tc>
        <w:tc>
          <w:p>
            <w:pPr>
              <w:pStyle w:val="Compact"/>
              <w:jc w:val="left"/>
            </w:pPr>
            <w:hyperlink r:id="rId48">
              <w:r>
                <w:rPr>
                  <w:rStyle w:val="Hyperlink"/>
                </w:rPr>
                <w:t xml:space="preserve">#26</w:t>
              </w:r>
            </w:hyperlink>
          </w:p>
        </w:tc>
        <w:tc>
          <w:p>
            <w:pPr>
              <w:pStyle w:val="Compact"/>
              <w:jc w:val="left"/>
            </w:pPr>
            <w:r>
              <w:t xml:space="preserve">Study limitations, including sources of potential bias, statistical uncertainty, and generalisability</w:t>
            </w:r>
          </w:p>
        </w:tc>
        <w:tc>
          <w:p>
            <w:pPr>
              <w:pStyle w:val="Compact"/>
              <w:jc w:val="right"/>
            </w:pPr>
            <w:r>
              <w:t xml:space="preserve">18、19</w:t>
            </w:r>
          </w:p>
        </w:tc>
      </w:tr>
      <w:tr>
        <w:tc>
          <w:p>
            <w:pPr>
              <w:pStyle w:val="Compact"/>
              <w:jc w:val="left"/>
            </w:pPr>
            <w:r>
              <w:t xml:space="preserve">None</w:t>
            </w:r>
          </w:p>
        </w:tc>
        <w:tc>
          <w:p>
            <w:pPr>
              <w:pStyle w:val="Compact"/>
              <w:jc w:val="left"/>
            </w:pPr>
            <w:hyperlink r:id="rId49">
              <w:r>
                <w:rPr>
                  <w:rStyle w:val="Hyperlink"/>
                </w:rPr>
                <w:t xml:space="preserve">#27</w:t>
              </w:r>
            </w:hyperlink>
          </w:p>
        </w:tc>
        <w:tc>
          <w:p>
            <w:pPr>
              <w:pStyle w:val="Compact"/>
              <w:jc w:val="left"/>
            </w:pPr>
            <w:r>
              <w:t xml:space="preserve">Implications for practice, including the intended use and clinical role of the index test</w:t>
            </w:r>
          </w:p>
        </w:tc>
        <w:tc>
          <w:p>
            <w:pPr>
              <w:pStyle w:val="Compact"/>
              <w:jc w:val="right"/>
            </w:pPr>
            <w:r>
              <w:t xml:space="preserve">14、15</w:t>
            </w:r>
          </w:p>
        </w:tc>
      </w:tr>
      <w:tr>
        <w:tc>
          <w:p>
            <w:pPr>
              <w:pStyle w:val="Compact"/>
              <w:jc w:val="left"/>
            </w:pPr>
            <w:r>
              <w:rPr>
                <w:b/>
              </w:rPr>
              <w:t xml:space="preserve">Other information</w:t>
            </w:r>
          </w:p>
        </w:tc>
        <w:tc>
          <w:p>
            <w:pStyle w:val="Compact"/>
          </w:p>
        </w:tc>
        <w:tc>
          <w:p>
            <w:pStyle w:val="Compact"/>
          </w:p>
        </w:tc>
        <w:tc>
          <w:p>
            <w:pStyle w:val="Compact"/>
          </w:p>
        </w:tc>
      </w:tr>
      <w:tr>
        <w:tc>
          <w:p>
            <w:pPr>
              <w:pStyle w:val="Compact"/>
              <w:jc w:val="left"/>
            </w:pPr>
            <w:r>
              <w:t xml:space="preserve">None</w:t>
            </w:r>
          </w:p>
        </w:tc>
        <w:tc>
          <w:p>
            <w:pPr>
              <w:pStyle w:val="Compact"/>
              <w:jc w:val="left"/>
            </w:pPr>
            <w:hyperlink r:id="rId50">
              <w:r>
                <w:rPr>
                  <w:rStyle w:val="Hyperlink"/>
                </w:rPr>
                <w:t xml:space="preserve">#28</w:t>
              </w:r>
            </w:hyperlink>
          </w:p>
        </w:tc>
        <w:tc>
          <w:p>
            <w:pPr>
              <w:pStyle w:val="Compact"/>
              <w:jc w:val="left"/>
            </w:pPr>
            <w:r>
              <w:t xml:space="preserve">Registration number and name of registry</w:t>
            </w:r>
          </w:p>
        </w:tc>
        <w:tc>
          <w:p>
            <w:pPr>
              <w:pStyle w:val="Compact"/>
              <w:jc w:val="right"/>
            </w:pPr>
            <w:r>
              <w:t xml:space="preserve">5</w:t>
            </w:r>
          </w:p>
        </w:tc>
      </w:tr>
      <w:tr>
        <w:tc>
          <w:p>
            <w:pPr>
              <w:pStyle w:val="Compact"/>
              <w:jc w:val="left"/>
            </w:pPr>
            <w:r>
              <w:t xml:space="preserve">None</w:t>
            </w:r>
          </w:p>
        </w:tc>
        <w:tc>
          <w:p>
            <w:pPr>
              <w:pStyle w:val="Compact"/>
              <w:jc w:val="left"/>
            </w:pPr>
            <w:hyperlink r:id="rId51">
              <w:r>
                <w:rPr>
                  <w:rStyle w:val="Hyperlink"/>
                </w:rPr>
                <w:t xml:space="preserve">#29</w:t>
              </w:r>
            </w:hyperlink>
          </w:p>
        </w:tc>
        <w:tc>
          <w:p>
            <w:pPr>
              <w:pStyle w:val="Compact"/>
              <w:jc w:val="left"/>
            </w:pPr>
            <w:r>
              <w:t xml:space="preserve">Where the full study protocol can be accessed</w:t>
            </w:r>
          </w:p>
        </w:tc>
        <w:tc>
          <w:p>
            <w:pPr>
              <w:pStyle w:val="Compact"/>
              <w:jc w:val="right"/>
            </w:pPr>
            <w:r>
              <w:t xml:space="preserve">5</w:t>
            </w:r>
          </w:p>
        </w:tc>
      </w:tr>
      <w:tr>
        <w:tc>
          <w:p>
            <w:pPr>
              <w:pStyle w:val="Compact"/>
              <w:jc w:val="left"/>
            </w:pPr>
            <w:r>
              <w:t xml:space="preserve">None</w:t>
            </w:r>
          </w:p>
        </w:tc>
        <w:tc>
          <w:p>
            <w:pPr>
              <w:pStyle w:val="Compact"/>
              <w:jc w:val="left"/>
            </w:pPr>
            <w:hyperlink r:id="rId52">
              <w:r>
                <w:rPr>
                  <w:rStyle w:val="Hyperlink"/>
                </w:rPr>
                <w:t xml:space="preserve">#30</w:t>
              </w:r>
            </w:hyperlink>
          </w:p>
        </w:tc>
        <w:tc>
          <w:p>
            <w:pPr>
              <w:pStyle w:val="Compact"/>
              <w:jc w:val="left"/>
            </w:pPr>
            <w:r>
              <w:t xml:space="preserve">Sources of funding and other support; role of funders</w:t>
            </w:r>
          </w:p>
        </w:tc>
        <w:tc>
          <w:p>
            <w:pPr>
              <w:pStyle w:val="Compact"/>
              <w:jc w:val="right"/>
            </w:pPr>
            <w:r>
              <w:t xml:space="preserve">n/a</w:t>
            </w:r>
          </w:p>
        </w:tc>
      </w:tr>
    </w:tbl>
    <w:p>
      <w:pPr>
        <w:pStyle w:val="BodyText"/>
      </w:pPr>
      <w:r>
        <w:t xml:space="preserve">The STARD checklist is distributed under the terms of the Creative Commons Attribution License CC-BY. This checklist was completed on 29. June 2025 using</w:t>
      </w:r>
      <w:r>
        <w:t xml:space="preserve"> </w:t>
      </w:r>
      <w:hyperlink r:id="rId53">
        <w:r>
          <w:rPr>
            <w:rStyle w:val="Hyperlink"/>
          </w:rPr>
          <w:t xml:space="preserve">https://www.goodreports.org/</w:t>
        </w:r>
      </w:hyperlink>
      <w:r>
        <w:t xml:space="preserve">, a tool made by the</w:t>
      </w:r>
      <w:r>
        <w:t xml:space="preserve"> </w:t>
      </w:r>
      <w:hyperlink r:id="rId54">
        <w:r>
          <w:rPr>
            <w:rStyle w:val="Hyperlink"/>
          </w:rPr>
          <w:t xml:space="preserve">EQUATOR Network</w:t>
        </w:r>
      </w:hyperlink>
      <w:r>
        <w:t xml:space="preserve"> </w:t>
      </w:r>
      <w:r>
        <w:t xml:space="preserve">in collaboration with</w:t>
      </w:r>
      <w:r>
        <w:t xml:space="preserve"> </w:t>
      </w:r>
      <w:hyperlink r:id="rId55">
        <w:r>
          <w:rPr>
            <w:rStyle w:val="Hyperlink"/>
          </w:rPr>
          <w:t xml:space="preserve">Penelope.ai</w:t>
        </w:r>
      </w:hyperlink>
    </w:p>
    <w:sectPr w:rsidR="00611042" w:rsidRPr="00DF5707" w:rsidSect="00F850B0">
      <w:headerReference w:type="first" r:id="rId8"/>
      <w:pgSz w:w="12240" w:h="15840"/>
      <w:pgMar w:top="720" w:right="720" w:bottom="720" w:left="720" w:header="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roxima Nova">
    <w:altName w:val="Times New Roman"/>
    <w:charset w:val="00"/>
    <w:family w:val="auto"/>
    <w:pitch w:val="default"/>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09A8F" w14:textId="6585B23D" w:rsidR="00C150C8" w:rsidRDefault="00C150C8" w:rsidP="00A82CF9">
    <w:pPr>
      <w:pStyle w:val="Header"/>
    </w:pPr>
    <w:r>
      <w:rPr>
        <w:noProof/>
      </w:rPr>
      <mc:AlternateContent>
        <mc:Choice Requires="wps">
          <w:drawing>
            <wp:anchor distT="0" distB="0" distL="114300" distR="114300" simplePos="0" relativeHeight="251659264" behindDoc="0" locked="0" layoutInCell="1" allowOverlap="1" wp14:anchorId="5513C718" wp14:editId="1351D8C9">
              <wp:simplePos x="0" y="0"/>
              <wp:positionH relativeFrom="column">
                <wp:posOffset>-54610</wp:posOffset>
              </wp:positionH>
              <wp:positionV relativeFrom="paragraph">
                <wp:posOffset>685419</wp:posOffset>
              </wp:positionV>
              <wp:extent cx="6172200" cy="45719"/>
              <wp:effectExtent l="0" t="0" r="0" b="5715"/>
              <wp:wrapNone/>
              <wp:docPr id="4" name="Rectangle 4"/>
              <wp:cNvGraphicFramePr/>
              <a:graphic xmlns:a="http://schemas.openxmlformats.org/drawingml/2006/main">
                <a:graphicData uri="http://schemas.microsoft.com/office/word/2010/wordprocessingShape">
                  <wps:wsp>
                    <wps:cNvSpPr/>
                    <wps:spPr>
                      <a:xfrm>
                        <a:off x="0" y="0"/>
                        <a:ext cx="6172200" cy="45719"/>
                      </a:xfrm>
                      <a:prstGeom prst="rect">
                        <a:avLst/>
                      </a:prstGeom>
                      <a:solidFill>
                        <a:srgbClr val="2BB2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48822E" id="Rectangle 4" o:spid="_x0000_s1026" style="position:absolute;margin-left:-4.3pt;margin-top:53.95pt;width:486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" fillcolor="#2bb298" stroked="f" strokeweight="1pt"/>
          </w:pict>
        </mc:Fallback>
      </mc:AlternateContent>
    </w:r>
  </w:p>
</w:hdr>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120683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roxima Nova" w:eastAsia="Proxima Nova" w:hAnsi="Proxima Nova" w:cs="Proxima Nova"/>
        <w:color w:val="353744"/>
        <w:sz w:val="22"/>
        <w:szCs w:val="22"/>
        <w:lang w:val="en-US" w:eastAsia="en-US" w:bidi="ar-SA"/>
      </w:rPr>
    </w:rPrDefault>
    <w:pPrDefault>
      <w:pPr>
        <w:spacing w:before="200" w:line="312"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A82CF9"/>
    <w:rPr>
      <w:rFonts w:ascii="Helvetica" w:hAnsi="Helvetica"/>
      <w:sz w:val="24"/>
      <w:szCs w:val="24"/>
    </w:rPr>
  </w:style>
  <w:style w:type="paragraph" w:styleId="Heading1">
    <w:name w:val="heading 1"/>
    <w:basedOn w:val="Title"/>
    <w:next w:val="Normal"/>
    <w:rsid w:val="005C53B4"/>
    <w:pPr>
      <w:spacing w:after="400"/>
      <w:contextualSpacing w:val="0"/>
      <w:outlineLvl w:val="0"/>
    </w:pPr>
    <w:rPr>
      <w:color w:val="000000" w:themeColor="text1"/>
      <w:sz w:val="48"/>
      <w:szCs w:val="48"/>
    </w:rPr>
  </w:style>
  <w:style w:type="paragraph" w:styleId="Heading2">
    <w:name w:val="heading 2"/>
    <w:basedOn w:val="Normal"/>
    <w:next w:val="Normal"/>
    <w:rsid w:val="005C53B4"/>
    <w:pPr>
      <w:spacing w:before="300" w:after="200" w:line="240" w:lineRule="auto"/>
      <w:contextualSpacing/>
      <w:outlineLvl w:val="1"/>
    </w:pPr>
    <w:rPr>
      <w:b/>
      <w:color w:val="27A799"/>
      <w:sz w:val="32"/>
      <w:szCs w:val="32"/>
    </w:rPr>
  </w:style>
  <w:style w:type="paragraph" w:styleId="Heading3">
    <w:name w:val="heading 3"/>
    <w:basedOn w:val="Normal"/>
    <w:next w:val="Normal"/>
    <w:rsid w:val="00433AA8"/>
    <w:pPr>
      <w:outlineLvl w:val="2"/>
    </w:pPr>
    <w:rPr>
      <w:b/>
      <w:color w:val="auto"/>
    </w:rPr>
  </w:style>
  <w:style w:type="paragraph" w:styleId="Heading4">
    <w:name w:val="heading 4"/>
    <w:basedOn w:val="Normal"/>
    <w:next w:val="Normal"/>
    <w:rsid w:val="005C53B4"/>
    <w:pPr>
      <w:spacing w:before="100"/>
      <w:outlineLvl w:val="3"/>
    </w:pPr>
    <w:rPr>
      <w:sz w:val="32"/>
      <w:szCs w:val="32"/>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320" w:line="240" w:lineRule="auto"/>
      <w:contextualSpacing/>
    </w:pPr>
    <w:rPr>
      <w:sz w:val="72"/>
      <w:szCs w:val="72"/>
    </w:rPr>
  </w:style>
  <w:style w:type="paragraph" w:styleId="Subtitle">
    <w:name w:val="Subtitle"/>
    <w:basedOn w:val="Normal"/>
    <w:next w:val="Normal"/>
    <w:pPr>
      <w:spacing w:before="0" w:line="240" w:lineRule="auto"/>
      <w:contextualSpacing/>
    </w:pPr>
    <w:rPr>
      <w:color w:val="666666"/>
      <w:sz w:val="26"/>
      <w:szCs w:val="26"/>
    </w:rPr>
  </w:style>
  <w:style w:type="table" w:customStyle="1" w:styleId="1">
    <w:name w:val="1"/>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5949A7"/>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49A7"/>
    <w:rPr>
      <w:rFonts w:ascii="Times New Roman" w:hAnsi="Times New Roman" w:cs="Times New Roman"/>
      <w:sz w:val="18"/>
      <w:szCs w:val="18"/>
    </w:rPr>
  </w:style>
  <w:style w:type="paragraph" w:styleId="Header">
    <w:name w:val="header"/>
    <w:basedOn w:val="Normal"/>
    <w:link w:val="HeaderChar"/>
    <w:uiPriority w:val="99"/>
    <w:unhideWhenUsed/>
    <w:rsid w:val="0087486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74865"/>
  </w:style>
  <w:style w:type="paragraph" w:styleId="Footer">
    <w:name w:val="footer"/>
    <w:basedOn w:val="Normal"/>
    <w:link w:val="FooterChar"/>
    <w:uiPriority w:val="99"/>
    <w:unhideWhenUsed/>
    <w:rsid w:val="0087486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74865"/>
  </w:style>
  <w:style w:type="character" w:styleId="Hyperlink">
    <w:name w:val="Hyperlink"/>
    <w:basedOn w:val="DefaultParagraphFont"/>
    <w:uiPriority w:val="99"/>
    <w:unhideWhenUsed/>
    <w:rsid w:val="00874865"/>
    <w:rPr>
      <w:color w:val="0563C1" w:themeColor="hyperlink"/>
      <w:u w:val="single"/>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Id="rId8" Type="http://schemas.openxmlformats.org/officeDocument/2006/relationships/header" Target="header1.xml" /><Relationship Type="http://schemas.openxmlformats.org/officeDocument/2006/relationships/hyperlink" Id="rId54" Target="https://www.equator-network.org" TargetMode="External" /><Relationship Type="http://schemas.openxmlformats.org/officeDocument/2006/relationships/hyperlink" Id="rId53" Target="https://www.goodreports.org/" TargetMode="External" /><Relationship Type="http://schemas.openxmlformats.org/officeDocument/2006/relationships/hyperlink" Id="rId23" Target="https://www.goodreports.org/reporting-checklists/stard/info/#1" TargetMode="External" /><Relationship Type="http://schemas.openxmlformats.org/officeDocument/2006/relationships/hyperlink" Id="rId32" Target="https://www.goodreports.org/reporting-checklists/stard/info/#10" TargetMode="External" /><Relationship Type="http://schemas.openxmlformats.org/officeDocument/2006/relationships/hyperlink" Id="rId33" Target="https://www.goodreports.org/reporting-checklists/stard/info/#11" TargetMode="External" /><Relationship Type="http://schemas.openxmlformats.org/officeDocument/2006/relationships/hyperlink" Id="rId34" Target="https://www.goodreports.org/reporting-checklists/stard/info/#12" TargetMode="External" /><Relationship Type="http://schemas.openxmlformats.org/officeDocument/2006/relationships/hyperlink" Id="rId35" Target="https://www.goodreports.org/reporting-checklists/stard/info/#13" TargetMode="External" /><Relationship Type="http://schemas.openxmlformats.org/officeDocument/2006/relationships/hyperlink" Id="rId36" Target="https://www.goodreports.org/reporting-checklists/stard/info/#14" TargetMode="External" /><Relationship Type="http://schemas.openxmlformats.org/officeDocument/2006/relationships/hyperlink" Id="rId37" Target="https://www.goodreports.org/reporting-checklists/stard/info/#15" TargetMode="External" /><Relationship Type="http://schemas.openxmlformats.org/officeDocument/2006/relationships/hyperlink" Id="rId38" Target="https://www.goodreports.org/reporting-checklists/stard/info/#16" TargetMode="External" /><Relationship Type="http://schemas.openxmlformats.org/officeDocument/2006/relationships/hyperlink" Id="rId39" Target="https://www.goodreports.org/reporting-checklists/stard/info/#17" TargetMode="External" /><Relationship Type="http://schemas.openxmlformats.org/officeDocument/2006/relationships/hyperlink" Id="rId40" Target="https://www.goodreports.org/reporting-checklists/stard/info/#18" TargetMode="External" /><Relationship Type="http://schemas.openxmlformats.org/officeDocument/2006/relationships/hyperlink" Id="rId41" Target="https://www.goodreports.org/reporting-checklists/stard/info/#19" TargetMode="External" /><Relationship Type="http://schemas.openxmlformats.org/officeDocument/2006/relationships/hyperlink" Id="rId24" Target="https://www.goodreports.org/reporting-checklists/stard/info/#2" TargetMode="External" /><Relationship Type="http://schemas.openxmlformats.org/officeDocument/2006/relationships/hyperlink" Id="rId42" Target="https://www.goodreports.org/reporting-checklists/stard/info/#20" TargetMode="External" /><Relationship Type="http://schemas.openxmlformats.org/officeDocument/2006/relationships/hyperlink" Id="rId43" Target="https://www.goodreports.org/reporting-checklists/stard/info/#21" TargetMode="External" /><Relationship Type="http://schemas.openxmlformats.org/officeDocument/2006/relationships/hyperlink" Id="rId44" Target="https://www.goodreports.org/reporting-checklists/stard/info/#22" TargetMode="External" /><Relationship Type="http://schemas.openxmlformats.org/officeDocument/2006/relationships/hyperlink" Id="rId45" Target="https://www.goodreports.org/reporting-checklists/stard/info/#23" TargetMode="External" /><Relationship Type="http://schemas.openxmlformats.org/officeDocument/2006/relationships/hyperlink" Id="rId46" Target="https://www.goodreports.org/reporting-checklists/stard/info/#24" TargetMode="External" /><Relationship Type="http://schemas.openxmlformats.org/officeDocument/2006/relationships/hyperlink" Id="rId47" Target="https://www.goodreports.org/reporting-checklists/stard/info/#25" TargetMode="External" /><Relationship Type="http://schemas.openxmlformats.org/officeDocument/2006/relationships/hyperlink" Id="rId48" Target="https://www.goodreports.org/reporting-checklists/stard/info/#26" TargetMode="External" /><Relationship Type="http://schemas.openxmlformats.org/officeDocument/2006/relationships/hyperlink" Id="rId49" Target="https://www.goodreports.org/reporting-checklists/stard/info/#27" TargetMode="External" /><Relationship Type="http://schemas.openxmlformats.org/officeDocument/2006/relationships/hyperlink" Id="rId50" Target="https://www.goodreports.org/reporting-checklists/stard/info/#28" TargetMode="External" /><Relationship Type="http://schemas.openxmlformats.org/officeDocument/2006/relationships/hyperlink" Id="rId51" Target="https://www.goodreports.org/reporting-checklists/stard/info/#29" TargetMode="External" /><Relationship Type="http://schemas.openxmlformats.org/officeDocument/2006/relationships/hyperlink" Id="rId25" Target="https://www.goodreports.org/reporting-checklists/stard/info/#3" TargetMode="External" /><Relationship Type="http://schemas.openxmlformats.org/officeDocument/2006/relationships/hyperlink" Id="rId52" Target="https://www.goodreports.org/reporting-checklists/stard/info/#30" TargetMode="External" /><Relationship Type="http://schemas.openxmlformats.org/officeDocument/2006/relationships/hyperlink" Id="rId26" Target="https://www.goodreports.org/reporting-checklists/stard/info/#4" TargetMode="External" /><Relationship Type="http://schemas.openxmlformats.org/officeDocument/2006/relationships/hyperlink" Id="rId27" Target="https://www.goodreports.org/reporting-checklists/stard/info/#5" TargetMode="External" /><Relationship Type="http://schemas.openxmlformats.org/officeDocument/2006/relationships/hyperlink" Id="rId28" Target="https://www.goodreports.org/reporting-checklists/stard/info/#6" TargetMode="External" /><Relationship Type="http://schemas.openxmlformats.org/officeDocument/2006/relationships/hyperlink" Id="rId29" Target="https://www.goodreports.org/reporting-checklists/stard/info/#7" TargetMode="External" /><Relationship Type="http://schemas.openxmlformats.org/officeDocument/2006/relationships/hyperlink" Id="rId30" Target="https://www.goodreports.org/reporting-checklists/stard/info/#8" TargetMode="External" /><Relationship Type="http://schemas.openxmlformats.org/officeDocument/2006/relationships/hyperlink" Id="rId31" Target="https://www.goodreports.org/reporting-checklists/stard/info/#9" TargetMode="External" /><Relationship Type="http://schemas.openxmlformats.org/officeDocument/2006/relationships/hyperlink" Id="rId55" Target="https://www.penelope.ai" TargetMode="External" /></Relationships>
</file>

<file path=word/_rels/footnotes.xml.rels><?xml version="1.0" encoding="UTF-8"?>
<Relationships xmlns="http://schemas.openxmlformats.org/package/2006/relationships"><Relationship Type="http://schemas.openxmlformats.org/officeDocument/2006/relationships/hyperlink" Id="rId54" Target="https://www.equator-network.org" TargetMode="External" /><Relationship Type="http://schemas.openxmlformats.org/officeDocument/2006/relationships/hyperlink" Id="rId53" Target="https://www.goodreports.org/" TargetMode="External" /><Relationship Type="http://schemas.openxmlformats.org/officeDocument/2006/relationships/hyperlink" Id="rId23" Target="https://www.goodreports.org/reporting-checklists/stard/info/#1" TargetMode="External" /><Relationship Type="http://schemas.openxmlformats.org/officeDocument/2006/relationships/hyperlink" Id="rId32" Target="https://www.goodreports.org/reporting-checklists/stard/info/#10" TargetMode="External" /><Relationship Type="http://schemas.openxmlformats.org/officeDocument/2006/relationships/hyperlink" Id="rId33" Target="https://www.goodreports.org/reporting-checklists/stard/info/#11" TargetMode="External" /><Relationship Type="http://schemas.openxmlformats.org/officeDocument/2006/relationships/hyperlink" Id="rId34" Target="https://www.goodreports.org/reporting-checklists/stard/info/#12" TargetMode="External" /><Relationship Type="http://schemas.openxmlformats.org/officeDocument/2006/relationships/hyperlink" Id="rId35" Target="https://www.goodreports.org/reporting-checklists/stard/info/#13" TargetMode="External" /><Relationship Type="http://schemas.openxmlformats.org/officeDocument/2006/relationships/hyperlink" Id="rId36" Target="https://www.goodreports.org/reporting-checklists/stard/info/#14" TargetMode="External" /><Relationship Type="http://schemas.openxmlformats.org/officeDocument/2006/relationships/hyperlink" Id="rId37" Target="https://www.goodreports.org/reporting-checklists/stard/info/#15" TargetMode="External" /><Relationship Type="http://schemas.openxmlformats.org/officeDocument/2006/relationships/hyperlink" Id="rId38" Target="https://www.goodreports.org/reporting-checklists/stard/info/#16" TargetMode="External" /><Relationship Type="http://schemas.openxmlformats.org/officeDocument/2006/relationships/hyperlink" Id="rId39" Target="https://www.goodreports.org/reporting-checklists/stard/info/#17" TargetMode="External" /><Relationship Type="http://schemas.openxmlformats.org/officeDocument/2006/relationships/hyperlink" Id="rId40" Target="https://www.goodreports.org/reporting-checklists/stard/info/#18" TargetMode="External" /><Relationship Type="http://schemas.openxmlformats.org/officeDocument/2006/relationships/hyperlink" Id="rId41" Target="https://www.goodreports.org/reporting-checklists/stard/info/#19" TargetMode="External" /><Relationship Type="http://schemas.openxmlformats.org/officeDocument/2006/relationships/hyperlink" Id="rId24" Target="https://www.goodreports.org/reporting-checklists/stard/info/#2" TargetMode="External" /><Relationship Type="http://schemas.openxmlformats.org/officeDocument/2006/relationships/hyperlink" Id="rId42" Target="https://www.goodreports.org/reporting-checklists/stard/info/#20" TargetMode="External" /><Relationship Type="http://schemas.openxmlformats.org/officeDocument/2006/relationships/hyperlink" Id="rId43" Target="https://www.goodreports.org/reporting-checklists/stard/info/#21" TargetMode="External" /><Relationship Type="http://schemas.openxmlformats.org/officeDocument/2006/relationships/hyperlink" Id="rId44" Target="https://www.goodreports.org/reporting-checklists/stard/info/#22" TargetMode="External" /><Relationship Type="http://schemas.openxmlformats.org/officeDocument/2006/relationships/hyperlink" Id="rId45" Target="https://www.goodreports.org/reporting-checklists/stard/info/#23" TargetMode="External" /><Relationship Type="http://schemas.openxmlformats.org/officeDocument/2006/relationships/hyperlink" Id="rId46" Target="https://www.goodreports.org/reporting-checklists/stard/info/#24" TargetMode="External" /><Relationship Type="http://schemas.openxmlformats.org/officeDocument/2006/relationships/hyperlink" Id="rId47" Target="https://www.goodreports.org/reporting-checklists/stard/info/#25" TargetMode="External" /><Relationship Type="http://schemas.openxmlformats.org/officeDocument/2006/relationships/hyperlink" Id="rId48" Target="https://www.goodreports.org/reporting-checklists/stard/info/#26" TargetMode="External" /><Relationship Type="http://schemas.openxmlformats.org/officeDocument/2006/relationships/hyperlink" Id="rId49" Target="https://www.goodreports.org/reporting-checklists/stard/info/#27" TargetMode="External" /><Relationship Type="http://schemas.openxmlformats.org/officeDocument/2006/relationships/hyperlink" Id="rId50" Target="https://www.goodreports.org/reporting-checklists/stard/info/#28" TargetMode="External" /><Relationship Type="http://schemas.openxmlformats.org/officeDocument/2006/relationships/hyperlink" Id="rId51" Target="https://www.goodreports.org/reporting-checklists/stard/info/#29" TargetMode="External" /><Relationship Type="http://schemas.openxmlformats.org/officeDocument/2006/relationships/hyperlink" Id="rId25" Target="https://www.goodreports.org/reporting-checklists/stard/info/#3" TargetMode="External" /><Relationship Type="http://schemas.openxmlformats.org/officeDocument/2006/relationships/hyperlink" Id="rId52" Target="https://www.goodreports.org/reporting-checklists/stard/info/#30" TargetMode="External" /><Relationship Type="http://schemas.openxmlformats.org/officeDocument/2006/relationships/hyperlink" Id="rId26" Target="https://www.goodreports.org/reporting-checklists/stard/info/#4" TargetMode="External" /><Relationship Type="http://schemas.openxmlformats.org/officeDocument/2006/relationships/hyperlink" Id="rId27" Target="https://www.goodreports.org/reporting-checklists/stard/info/#5" TargetMode="External" /><Relationship Type="http://schemas.openxmlformats.org/officeDocument/2006/relationships/hyperlink" Id="rId28" Target="https://www.goodreports.org/reporting-checklists/stard/info/#6" TargetMode="External" /><Relationship Type="http://schemas.openxmlformats.org/officeDocument/2006/relationships/hyperlink" Id="rId29" Target="https://www.goodreports.org/reporting-checklists/stard/info/#7" TargetMode="External" /><Relationship Type="http://schemas.openxmlformats.org/officeDocument/2006/relationships/hyperlink" Id="rId30" Target="https://www.goodreports.org/reporting-checklists/stard/info/#8" TargetMode="External" /><Relationship Type="http://schemas.openxmlformats.org/officeDocument/2006/relationships/hyperlink" Id="rId31" Target="https://www.goodreports.org/reporting-checklists/stard/info/#9" TargetMode="External" /><Relationship Type="http://schemas.openxmlformats.org/officeDocument/2006/relationships/hyperlink" Id="rId55" Target="https://www.penelope.a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62</Words>
  <Characters>354</Characters>
  <Application>Microsoft Macintosh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2025-06-29T13:23:35Z</dcterms:created>
  <dcterms:modified xsi:type="dcterms:W3CDTF">2025-06-29T13:23:35Z</dcterms:modified>
</cp:coreProperties>
</file>