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48C40">
      <w:pPr>
        <w:rPr>
          <w:rFonts w:hint="eastAsia" w:ascii="Times New Roman" w:hAnsi="Times New Roman" w:cs="Times New Roman"/>
          <w:lang w:val="en-US" w:eastAsia="zh-CN"/>
        </w:rPr>
      </w:pPr>
      <w:bookmarkStart w:id="10" w:name="_GoBack"/>
      <w:bookmarkEnd w:id="10"/>
      <w:r>
        <w:rPr>
          <w:rFonts w:hint="eastAsia" w:ascii="Times New Roman" w:hAnsi="Times New Roman" w:cs="Times New Roman"/>
          <w:lang w:val="en-US" w:eastAsia="zh-CN"/>
        </w:rPr>
        <w:t xml:space="preserve">Serum </w:t>
      </w:r>
      <w:r>
        <w:rPr>
          <w:rFonts w:ascii="Times New Roman" w:hAnsi="Times New Roman" w:cs="Times New Roman"/>
        </w:rPr>
        <w:t>lncRNA H19/miR-675</w:t>
      </w:r>
      <w:r>
        <w:rPr>
          <w:rFonts w:hint="eastAsia" w:ascii="Times New Roman" w:hAnsi="Times New Roman" w:cs="Times New Roman"/>
          <w:lang w:val="en-US" w:eastAsia="zh-CN"/>
        </w:rPr>
        <w:t>/PPAR</w:t>
      </w:r>
      <w:r>
        <w:rPr>
          <w:rFonts w:hint="default" w:ascii="Times New Roman" w:hAnsi="Times New Roman" w:cs="Times New Roman"/>
        </w:rPr>
        <w:sym w:font="Symbol" w:char="F061"/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expression before middle gestation </w:t>
      </w:r>
      <w:r>
        <w:rPr>
          <w:rFonts w:ascii="Times New Roman" w:hAnsi="Times New Roman" w:cs="Times New Roman"/>
        </w:rPr>
        <w:t xml:space="preserve">and </w:t>
      </w:r>
      <w:r>
        <w:rPr>
          <w:rFonts w:hint="eastAsia" w:ascii="Times New Roman" w:hAnsi="Times New Roman" w:cs="Times New Roman"/>
          <w:lang w:val="en-US" w:eastAsia="zh-CN"/>
        </w:rPr>
        <w:t xml:space="preserve">their associations with </w:t>
      </w:r>
      <w:r>
        <w:rPr>
          <w:rFonts w:ascii="Times New Roman" w:hAnsi="Times New Roman" w:cs="Times New Roman"/>
        </w:rPr>
        <w:t>macrosomia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risk </w:t>
      </w:r>
      <w:r>
        <w:rPr>
          <w:rFonts w:hint="eastAsia" w:ascii="Times New Roman" w:hAnsi="Times New Roman" w:cs="Times New Roman"/>
        </w:rPr>
        <w:t>in singleton pregnancies without gestational diabetes mellitus</w:t>
      </w:r>
      <w:r>
        <w:rPr>
          <w:rFonts w:hint="eastAsia" w:ascii="Times New Roman" w:hAnsi="Times New Roman" w:cs="Times New Roman"/>
          <w:lang w:val="en-US" w:eastAsia="zh-CN"/>
        </w:rPr>
        <w:t>: a preliminary study</w:t>
      </w:r>
    </w:p>
    <w:p w14:paraId="3C0CE99A">
      <w:pPr>
        <w:rPr>
          <w:rFonts w:hint="eastAsia" w:ascii="Times New Roman" w:hAnsi="Times New Roman" w:cs="Times New Roman"/>
          <w:lang w:val="en-US" w:eastAsia="zh-CN"/>
        </w:rPr>
      </w:pPr>
    </w:p>
    <w:p w14:paraId="5EB35E7D">
      <w:pPr>
        <w:rPr>
          <w:rFonts w:hint="eastAsia" w:ascii="Times New Roman" w:hAnsi="Times New Roman" w:cs="Times New Roman"/>
          <w:vertAlign w:val="superscript"/>
        </w:rPr>
      </w:pPr>
      <w:r>
        <w:rPr>
          <w:rFonts w:hint="eastAsia" w:ascii="Times New Roman" w:hAnsi="Times New Roman" w:cs="Times New Roman"/>
        </w:rPr>
        <w:t>Qiu-Yan Yu</w:t>
      </w:r>
      <w:r>
        <w:rPr>
          <w:rFonts w:hint="eastAsia" w:ascii="Times New Roman" w:hAnsi="Times New Roman" w:cs="Times New Roman"/>
          <w:lang w:val="en-US" w:eastAsia="zh-CN"/>
        </w:rPr>
        <w:t>, MD, PhD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1,</w:t>
      </w:r>
      <w:r>
        <w:rPr>
          <w:rFonts w:hint="eastAsia" w:ascii="Times New Roman" w:hAnsi="Times New Roman" w:cs="Times New Roman"/>
          <w:vertAlign w:val="superscript"/>
        </w:rPr>
        <w:t>*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eastAsia" w:ascii="Times New Roman" w:hAnsi="Times New Roman" w:cs="Times New Roman"/>
        </w:rPr>
        <w:t xml:space="preserve"> Ming-Min Jin</w:t>
      </w:r>
      <w:r>
        <w:rPr>
          <w:rFonts w:hint="eastAsia" w:ascii="Times New Roman" w:hAnsi="Times New Roman" w:cs="Times New Roman"/>
          <w:lang w:val="en-US" w:eastAsia="zh-CN"/>
        </w:rPr>
        <w:t>, MD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eastAsia" w:ascii="Times New Roman" w:hAnsi="Times New Roman" w:cs="Times New Roman"/>
        </w:rPr>
        <w:t xml:space="preserve"> Miao-Miao Ding</w:t>
      </w:r>
      <w:r>
        <w:rPr>
          <w:rFonts w:hint="eastAsia" w:ascii="Times New Roman" w:hAnsi="Times New Roman" w:cs="Times New Roman"/>
          <w:lang w:val="en-US" w:eastAsia="zh-CN"/>
        </w:rPr>
        <w:t>, MD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eastAsia" w:ascii="Times New Roman" w:hAnsi="Times New Roman" w:cs="Times New Roman"/>
        </w:rPr>
        <w:t xml:space="preserve"> Bin-Wei Cheng</w:t>
      </w:r>
      <w:r>
        <w:rPr>
          <w:rFonts w:hint="eastAsia" w:ascii="Times New Roman" w:hAnsi="Times New Roman" w:cs="Times New Roman"/>
          <w:lang w:val="en-US" w:eastAsia="zh-CN"/>
        </w:rPr>
        <w:t>, MD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eastAsia" w:ascii="Times New Roman" w:hAnsi="Times New Roman" w:cs="Times New Roman"/>
        </w:rPr>
        <w:t xml:space="preserve"> Xiao-Xia He</w:t>
      </w:r>
      <w:r>
        <w:rPr>
          <w:rFonts w:hint="eastAsia" w:ascii="Times New Roman" w:hAnsi="Times New Roman" w:cs="Times New Roman"/>
          <w:lang w:val="en-US" w:eastAsia="zh-CN"/>
        </w:rPr>
        <w:t>, MD, PhD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eastAsia" w:ascii="Times New Roman" w:hAnsi="Times New Roman" w:cs="Times New Roman"/>
        </w:rPr>
        <w:t xml:space="preserve"> Xin-Jun Yang</w:t>
      </w:r>
      <w:r>
        <w:rPr>
          <w:rFonts w:hint="eastAsia" w:ascii="Times New Roman" w:hAnsi="Times New Roman" w:cs="Times New Roman"/>
          <w:lang w:val="en-US" w:eastAsia="zh-CN"/>
        </w:rPr>
        <w:t>, MD, PhD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1,</w:t>
      </w:r>
      <w:r>
        <w:rPr>
          <w:rFonts w:hint="eastAsia" w:ascii="Times New Roman" w:hAnsi="Times New Roman" w:cs="Times New Roman"/>
          <w:vertAlign w:val="superscript"/>
        </w:rPr>
        <w:t>*</w:t>
      </w:r>
    </w:p>
    <w:p w14:paraId="154F4E12">
      <w:pPr>
        <w:rPr>
          <w:rFonts w:ascii="Times New Roman" w:hAnsi="Times New Roman" w:cs="Times New Roman"/>
        </w:rPr>
      </w:pPr>
      <w:bookmarkStart w:id="0" w:name="OLE_LINK5"/>
      <w:r>
        <w:rPr>
          <w:rFonts w:hint="eastAsia" w:ascii="Times New Roman" w:hAnsi="Times New Roman" w:cs="Times New Roman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</w:rPr>
        <w:t>Department of Epidemiology and Health Statistics, School of Public Health, Wenzhou Medical University, Wenzhou, Zhejiang, China</w:t>
      </w:r>
      <w:bookmarkEnd w:id="0"/>
    </w:p>
    <w:p w14:paraId="50767D73"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</w:rPr>
        <w:t xml:space="preserve">Clinical laboratory, </w:t>
      </w:r>
      <w:bookmarkStart w:id="1" w:name="OLE_LINK15"/>
      <w:r>
        <w:rPr>
          <w:rFonts w:hint="eastAsia" w:ascii="Times New Roman" w:hAnsi="Times New Roman" w:cs="Times New Roman"/>
        </w:rPr>
        <w:t>The Affiliated Hospital of Inner Mongolia Medical University</w:t>
      </w:r>
      <w:bookmarkEnd w:id="1"/>
      <w:r>
        <w:rPr>
          <w:rFonts w:hint="eastAsia" w:ascii="Times New Roman" w:hAnsi="Times New Roman" w:cs="Times New Roman"/>
        </w:rPr>
        <w:t>, Mongolia, China</w:t>
      </w:r>
    </w:p>
    <w:p w14:paraId="087A0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Cs w:val="20"/>
          <w:lang w:val="en-US" w:eastAsia="zh-CN"/>
        </w:rPr>
      </w:pPr>
    </w:p>
    <w:p w14:paraId="1DF3D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Cs w:val="20"/>
          <w:lang w:val="en-US" w:eastAsia="zh-CN"/>
        </w:rPr>
      </w:pPr>
    </w:p>
    <w:p w14:paraId="3A313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Cs w:val="20"/>
          <w:lang w:val="en-US" w:eastAsia="zh-CN"/>
        </w:rPr>
      </w:pPr>
    </w:p>
    <w:p w14:paraId="20B74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Cs w:val="20"/>
          <w:lang w:val="en-US" w:eastAsia="zh-CN"/>
        </w:rPr>
      </w:pPr>
    </w:p>
    <w:p w14:paraId="432B6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Cs w:val="20"/>
          <w:lang w:val="en-US" w:eastAsia="zh-CN"/>
        </w:rPr>
      </w:pPr>
    </w:p>
    <w:p w14:paraId="0359A79C">
      <w:pPr>
        <w:rPr>
          <w:rFonts w:hint="default"/>
          <w:lang w:val="en-US" w:eastAsia="zh-CN"/>
        </w:rPr>
      </w:pPr>
    </w:p>
    <w:p w14:paraId="42B49159">
      <w:pPr>
        <w:rPr>
          <w:rFonts w:hint="default"/>
          <w:lang w:val="en-US" w:eastAsia="zh-CN"/>
        </w:rPr>
      </w:pPr>
    </w:p>
    <w:p w14:paraId="502E9687">
      <w:pPr>
        <w:rPr>
          <w:rFonts w:hint="default"/>
          <w:lang w:val="en-US" w:eastAsia="zh-CN"/>
        </w:rPr>
      </w:pPr>
    </w:p>
    <w:p w14:paraId="1CEC518F">
      <w:pPr>
        <w:rPr>
          <w:rFonts w:hint="default"/>
          <w:lang w:val="en-US" w:eastAsia="zh-CN"/>
        </w:rPr>
      </w:pPr>
    </w:p>
    <w:p w14:paraId="4C87DFED">
      <w:pPr>
        <w:rPr>
          <w:rFonts w:hint="default"/>
          <w:lang w:val="en-US" w:eastAsia="zh-CN"/>
        </w:rPr>
      </w:pPr>
    </w:p>
    <w:p w14:paraId="66F97AC0">
      <w:pPr>
        <w:rPr>
          <w:rFonts w:hint="default"/>
          <w:lang w:val="en-US" w:eastAsia="zh-CN"/>
        </w:rPr>
      </w:pPr>
    </w:p>
    <w:p w14:paraId="0E12CB9B">
      <w:pPr>
        <w:rPr>
          <w:rFonts w:hint="default"/>
          <w:lang w:val="en-US" w:eastAsia="zh-CN"/>
        </w:rPr>
      </w:pPr>
    </w:p>
    <w:p w14:paraId="5D362D91"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7841480"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2" w:name="_Toc32583"/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65405</wp:posOffset>
            </wp:positionV>
            <wp:extent cx="5259070" cy="4205605"/>
            <wp:effectExtent l="0" t="0" r="17780" b="4445"/>
            <wp:wrapTopAndBottom/>
            <wp:docPr id="1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lang w:val="en-US" w:eastAsia="zh-CN"/>
        </w:rPr>
        <w:t>Figure S1</w:t>
      </w:r>
      <w:r>
        <w:rPr>
          <w:rFonts w:hint="default" w:ascii="Times New Roman" w:hAnsi="Times New Roman" w:cs="Times New Roman"/>
          <w:lang w:val="en-US" w:eastAsia="zh-CN"/>
        </w:rPr>
        <w:t xml:space="preserve"> Flow chart of participant screening in the nested case-control study.</w:t>
      </w:r>
      <w:bookmarkEnd w:id="2"/>
    </w:p>
    <w:p w14:paraId="48907F4B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761855" cy="2524125"/>
            <wp:effectExtent l="0" t="0" r="10795" b="9525"/>
            <wp:docPr id="2" name="图片 50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18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8FE7"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" w:name="_Toc13855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Figure S2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Restricted cubic spline analysis between maternal serum lncRNA H19, miR-675, the protein level of PPAR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sym w:font="Symbol" w:char="0061"/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and the risk of macrosomia.</w:t>
      </w:r>
      <w:bookmarkEnd w:id="3"/>
    </w:p>
    <w:p w14:paraId="499B9BF1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A : lncRNA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H19;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B: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miR-675; C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: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bookmarkStart w:id="4" w:name="OLE_LINK3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the protein level of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PPAR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sym w:font="Symbol" w:char="0061"/>
      </w:r>
      <w:bookmarkEnd w:id="4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. logistic models are conducted without adjustment of any confounding factors. Odds ratios are indicated solid red lines and 95% </w:t>
      </w:r>
      <w:r>
        <w:rPr>
          <w:rFonts w:hint="eastAsia" w:ascii="Times New Roman" w:hAnsi="Times New Roman" w:cs="Times New Roman"/>
          <w:i/>
          <w:iCs/>
          <w:sz w:val="20"/>
          <w:szCs w:val="20"/>
          <w:lang w:val="en-US" w:eastAsia="zh-CN"/>
        </w:rPr>
        <w:t>CIs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by shaded areas. The horizontal dotted lines represent the odds ratio of 1 as reference</w:t>
      </w:r>
    </w:p>
    <w:p w14:paraId="1CFF18BA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5B5F3A5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br w:type="page"/>
      </w:r>
    </w:p>
    <w:p w14:paraId="226BCF54">
      <w:pPr>
        <w:numPr>
          <w:ilvl w:val="0"/>
          <w:numId w:val="0"/>
        </w:numPr>
        <w:bidi w:val="0"/>
        <w:jc w:val="center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6412230" cy="2588895"/>
            <wp:effectExtent l="0" t="0" r="7620" b="1905"/>
            <wp:docPr id="3" name="图片 49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9" descr="Figure S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6D93">
      <w:pPr>
        <w:bidi w:val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bookmarkStart w:id="5" w:name="_Toc17743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Figure S3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Mediation effect of gestational weight gain between maternal serum PPAR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sym w:font="Symbol" w:char="0061"/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and macrosomia occurrence</w:t>
      </w:r>
      <w:bookmarkEnd w:id="5"/>
    </w:p>
    <w:p w14:paraId="2EE4DEC8">
      <w:pPr>
        <w:numPr>
          <w:ilvl w:val="0"/>
          <w:numId w:val="1"/>
        </w:num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:unadjusted by any confounding factors; (B): adjusted by BMI before pregnancy and gestational weeks using conditional logistic models</w:t>
      </w:r>
    </w:p>
    <w:p w14:paraId="233E0514">
      <w:pPr>
        <w:numPr>
          <w:ilvl w:val="0"/>
          <w:numId w:val="0"/>
        </w:numPr>
        <w:bidi w:val="0"/>
        <w:jc w:val="center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ED38845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5274310" cy="5266690"/>
            <wp:effectExtent l="0" t="0" r="2540" b="10160"/>
            <wp:docPr id="4" name="图片 32" descr="Figure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Figure S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E182">
      <w:pPr>
        <w:bidi w:val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bookmarkStart w:id="6" w:name="_Toc21702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Figure S4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The receiver operating characteristic curves of maternal serum H19, miR-675, and PPAR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sym w:font="Symbol" w:char="0061"/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as biomarkers to predict macrosomia</w:t>
      </w:r>
      <w:bookmarkEnd w:id="6"/>
    </w:p>
    <w:p w14:paraId="77D491FD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35209F9B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0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The basic model were constructed with TC, TG, HDL, LDL, maternal age, ethnicity, parity, and BMI before pregnancy</w:t>
      </w:r>
    </w:p>
    <w:p w14:paraId="6A08F66B">
      <w:pPr>
        <w:bidi w:val="0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7" w:name="_Toc9915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Table S1.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Maternal and neonatal baseline characteristics</w:t>
      </w:r>
      <w:bookmarkEnd w:id="7"/>
    </w:p>
    <w:tbl>
      <w:tblPr>
        <w:tblStyle w:val="4"/>
        <w:tblW w:w="8239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0"/>
        <w:gridCol w:w="3359"/>
      </w:tblGrid>
      <w:tr w14:paraId="2CAEA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488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 w:val="0"/>
            <w:vAlign w:val="center"/>
          </w:tcPr>
          <w:p w14:paraId="61ECE255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335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noWrap w:val="0"/>
            <w:vAlign w:val="center"/>
          </w:tcPr>
          <w:p w14:paraId="78A447B8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b/>
                <w:bCs/>
                <w:color w:val="000000"/>
                <w:szCs w:val="21"/>
              </w:rPr>
            </w:pPr>
            <w:r>
              <w:rPr>
                <w:rStyle w:val="7"/>
                <w:rFonts w:hint="eastAsia" w:ascii="Times New Roman" w:hAnsi="Times New Roman" w:eastAsia="Times New Roman Uni" w:cs="Times New Roman"/>
                <w:lang w:val="en-US" w:eastAsia="zh-CN"/>
              </w:rPr>
              <w:t>P</w:t>
            </w:r>
            <w:r>
              <w:rPr>
                <w:rStyle w:val="7"/>
                <w:rFonts w:hint="default" w:ascii="Times New Roman" w:hAnsi="Times New Roman" w:eastAsia="Times New Roman Uni" w:cs="Times New Roman"/>
              </w:rPr>
              <w:t>regnant women</w:t>
            </w:r>
            <w:r>
              <w:rPr>
                <w:rStyle w:val="7"/>
                <w:rFonts w:hint="eastAsia" w:ascii="Times New Roman" w:hAnsi="Times New Roman" w:eastAsia="Times New Roman Uni" w:cs="Times New Roman"/>
                <w:lang w:val="en-US" w:eastAsia="zh-CN"/>
              </w:rPr>
              <w:t xml:space="preserve"> </w:t>
            </w:r>
            <w:r>
              <w:rPr>
                <w:rStyle w:val="7"/>
                <w:rFonts w:hint="default" w:ascii="Times New Roman" w:hAnsi="Times New Roman" w:eastAsia="Times New Roman Uni" w:cs="Times New Roman"/>
              </w:rPr>
              <w:t>(</w:t>
            </w:r>
            <w:r>
              <w:rPr>
                <w:rStyle w:val="8"/>
                <w:rFonts w:eastAsia="Times New Roman Uni"/>
                <w:sz w:val="21"/>
                <w:szCs w:val="21"/>
              </w:rPr>
              <w:t>n</w:t>
            </w:r>
            <w:r>
              <w:rPr>
                <w:rStyle w:val="7"/>
                <w:rFonts w:hint="default" w:ascii="Times New Roman" w:hAnsi="Times New Roman" w:eastAsia="Times New Roman Uni" w:cs="Times New Roman"/>
              </w:rPr>
              <w:t>=898)</w:t>
            </w:r>
          </w:p>
        </w:tc>
      </w:tr>
      <w:tr w14:paraId="7BF90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5BE59F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Maternal age (years)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758C42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28.00 (25.00, 30.00)</w:t>
            </w:r>
          </w:p>
        </w:tc>
      </w:tr>
      <w:tr w14:paraId="617306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356B83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Maternal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 xml:space="preserve"> BMI</w:t>
            </w:r>
            <w:r>
              <w:rPr>
                <w:rStyle w:val="9"/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Style w:val="9"/>
                <w:rFonts w:hint="eastAsia" w:ascii="Times New Roman" w:hAnsi="Times New Roman" w:cs="Times New Roman"/>
                <w:b/>
                <w:bCs/>
                <w:lang w:val="en-US" w:eastAsia="zh-CN"/>
              </w:rPr>
              <w:t xml:space="preserve">before pregnancy </w:t>
            </w:r>
            <w:r>
              <w:rPr>
                <w:rStyle w:val="9"/>
                <w:rFonts w:ascii="Times New Roman" w:hAnsi="Times New Roman" w:cs="Times New Roman"/>
                <w:b/>
                <w:bCs/>
              </w:rPr>
              <w:t>(kg/m</w:t>
            </w:r>
            <w:r>
              <w:rPr>
                <w:rStyle w:val="9"/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>
              <w:rPr>
                <w:rStyle w:val="9"/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DF50F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000000"/>
                <w:kern w:val="0"/>
                <w:szCs w:val="21"/>
              </w:rPr>
              <w:t>21.23 (19.54, 23.44)</w:t>
            </w:r>
          </w:p>
        </w:tc>
      </w:tr>
      <w:tr w14:paraId="683E5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B76B8D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Education, n</w:t>
            </w:r>
            <w:r>
              <w:rPr>
                <w:rStyle w:val="9"/>
                <w:rFonts w:hint="eastAsia" w:ascii="Times New Roman" w:hAnsi="Times New Roman" w:cs="Times New Roman"/>
                <w:b/>
                <w:bCs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  <w:b/>
                <w:bCs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5E57A3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2B077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39B328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≤ High school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333AE7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541 (60.24)</w:t>
            </w:r>
          </w:p>
        </w:tc>
      </w:tr>
      <w:tr w14:paraId="60AC3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99280C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&gt; High school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306CF5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354 (39.42)</w:t>
            </w:r>
          </w:p>
        </w:tc>
      </w:tr>
      <w:tr w14:paraId="046A0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B54476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Missing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9CB092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3 (0.33)</w:t>
            </w:r>
          </w:p>
        </w:tc>
      </w:tr>
      <w:tr w14:paraId="4591D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C686C3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Drinking before pregnancy, n</w:t>
            </w:r>
            <w:r>
              <w:rPr>
                <w:rStyle w:val="9"/>
                <w:rFonts w:hint="eastAsia" w:ascii="Times New Roman" w:hAnsi="Times New Roman" w:cs="Times New Roman"/>
                <w:b/>
                <w:bCs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  <w:b/>
                <w:bCs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4448E5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4035B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AD0579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No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A44149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693 (77.17)</w:t>
            </w:r>
          </w:p>
        </w:tc>
      </w:tr>
      <w:tr w14:paraId="5D95B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F09A2E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Yes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6B79C5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47 (5.23)</w:t>
            </w:r>
          </w:p>
        </w:tc>
      </w:tr>
      <w:tr w14:paraId="245AA4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899F8D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Missing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0AA9CD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158 (17.59)</w:t>
            </w:r>
          </w:p>
        </w:tc>
      </w:tr>
      <w:tr w14:paraId="6AF5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BE0946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Smoking before pregnancy, n</w:t>
            </w:r>
            <w:r>
              <w:rPr>
                <w:rStyle w:val="9"/>
                <w:rFonts w:hint="eastAsia" w:ascii="Times New Roman" w:hAnsi="Times New Roman" w:eastAsia="Times New Roman Uni" w:cs="Times New Roman"/>
                <w:b/>
                <w:bCs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569767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2381E9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45B8A8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No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0F2D15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732 (81.51)</w:t>
            </w:r>
          </w:p>
        </w:tc>
      </w:tr>
      <w:tr w14:paraId="4FDB05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74D41A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Yes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4D4FE1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14 (1.56)</w:t>
            </w:r>
          </w:p>
        </w:tc>
      </w:tr>
      <w:tr w14:paraId="75D09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361898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Missing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01B2DA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152 (16.93)</w:t>
            </w:r>
          </w:p>
        </w:tc>
      </w:tr>
      <w:tr w14:paraId="65094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C50844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Exercise during pregnancy, n</w:t>
            </w:r>
            <w:r>
              <w:rPr>
                <w:rStyle w:val="9"/>
                <w:rFonts w:hint="eastAsia" w:ascii="Times New Roman" w:hAnsi="Times New Roman" w:eastAsia="Times New Roman Uni" w:cs="Times New Roman"/>
                <w:b/>
                <w:bCs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05FED1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40BFB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2F39EE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≤</w:t>
            </w:r>
            <w:r>
              <w:rPr>
                <w:rStyle w:val="9"/>
                <w:rFonts w:hint="eastAsia" w:ascii="Times New Roman" w:hAnsi="Times New Roman" w:cs="Times New Roman"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3 times/week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DEECD7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408 (45.43)</w:t>
            </w:r>
          </w:p>
        </w:tc>
      </w:tr>
      <w:tr w14:paraId="255C4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ADA48F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4-6 times/week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AD6959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55(6.12)</w:t>
            </w:r>
          </w:p>
        </w:tc>
      </w:tr>
      <w:tr w14:paraId="7D0B9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B8123B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≥</w:t>
            </w:r>
            <w:r>
              <w:rPr>
                <w:rStyle w:val="9"/>
                <w:rFonts w:hint="eastAsia" w:ascii="Times New Roman" w:hAnsi="Times New Roman" w:cs="Times New Roman"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7 times/week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F21D93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211(23.50)</w:t>
            </w:r>
          </w:p>
        </w:tc>
      </w:tr>
      <w:tr w14:paraId="7FF6B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67307E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Missing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C56136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224</w:t>
            </w:r>
            <w:r>
              <w:rPr>
                <w:rFonts w:hint="eastAsia" w:ascii="Times New Roman" w:hAnsi="Times New Roman" w:eastAsia="Times New Roman Uni" w:cs="Times New Roman"/>
                <w:color w:val="231F2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(24.94)</w:t>
            </w:r>
          </w:p>
        </w:tc>
      </w:tr>
      <w:tr w14:paraId="49E76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34E017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Sleep duration during pregnancy (h)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F513A6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8.00 (8.00, 9.50)</w:t>
            </w:r>
          </w:p>
        </w:tc>
      </w:tr>
      <w:tr w14:paraId="40DE6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CE80EC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Gestational weight gain (kg)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2C45BD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14.00 (10.58, 17.00)</w:t>
            </w:r>
          </w:p>
        </w:tc>
      </w:tr>
      <w:tr w14:paraId="0C65D9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1553E6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Blood collection time (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weeks)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E54E42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11.00 (9.00, 13.00)</w:t>
            </w:r>
          </w:p>
        </w:tc>
      </w:tr>
      <w:tr w14:paraId="46D0E8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8A1AFC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Gestational weeks (weeks)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5A28B4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39.00 (38.00, 40.00)</w:t>
            </w:r>
          </w:p>
        </w:tc>
      </w:tr>
      <w:tr w14:paraId="7A76AB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97032D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Parity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, n</w:t>
            </w:r>
            <w:r>
              <w:rPr>
                <w:rStyle w:val="9"/>
                <w:rFonts w:hint="eastAsia" w:ascii="Times New Roman" w:hAnsi="Times New Roman" w:eastAsia="Times New Roman Uni" w:cs="Times New Roman"/>
                <w:b/>
                <w:bCs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B166C0A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410F1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8EBCB7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Primipara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5E99CD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357 (39.76)</w:t>
            </w:r>
          </w:p>
        </w:tc>
      </w:tr>
      <w:tr w14:paraId="460F1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BBBFD9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Multipara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CF9663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541 (60.24)</w:t>
            </w:r>
          </w:p>
        </w:tc>
      </w:tr>
      <w:tr w14:paraId="533D5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70B6E8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Gravidity, n(%)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90AEA5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4C85D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996FF1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1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EDC0A0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261 (29.06)</w:t>
            </w:r>
          </w:p>
        </w:tc>
      </w:tr>
      <w:tr w14:paraId="47AE42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708B14B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&gt;1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CF8238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637 (70.94)</w:t>
            </w:r>
          </w:p>
        </w:tc>
      </w:tr>
      <w:tr w14:paraId="0D61B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4D88C8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Mode of delivery, n 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6B8953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2B592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2DB25C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C-section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1BA7E0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339 (37.75)</w:t>
            </w:r>
          </w:p>
        </w:tc>
      </w:tr>
      <w:tr w14:paraId="4893E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194615A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Vaginal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D5A930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557 (62.03)</w:t>
            </w:r>
          </w:p>
        </w:tc>
      </w:tr>
      <w:tr w14:paraId="33189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083DC5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Missing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27A9D4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2</w:t>
            </w: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 xml:space="preserve"> (0.22)</w:t>
            </w:r>
          </w:p>
        </w:tc>
      </w:tr>
      <w:tr w14:paraId="3A312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4519F3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Infant</w:t>
            </w:r>
            <w:r>
              <w:rPr>
                <w:rStyle w:val="9"/>
                <w:rFonts w:hint="eastAsia" w:ascii="Times New Roman" w:hAnsi="Times New Roman" w:eastAsia="Times New Roman Uni" w:cs="Times New Roman"/>
                <w:b/>
                <w:bCs/>
                <w:lang w:val="en-US" w:eastAsia="zh-CN"/>
              </w:rPr>
              <w:t>sex</w:t>
            </w: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, n(%)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17BDE0">
            <w:pPr>
              <w:jc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</w:p>
        </w:tc>
      </w:tr>
      <w:tr w14:paraId="64A69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73C555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Male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6589B4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512 (57.02)</w:t>
            </w:r>
          </w:p>
        </w:tc>
      </w:tr>
      <w:tr w14:paraId="5C294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8444A9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Female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A3CA30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386 (42.98)</w:t>
            </w:r>
          </w:p>
        </w:tc>
      </w:tr>
      <w:tr w14:paraId="46138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4B37F0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eastAsia="Times New Roman Uni" w:cs="Times New Roman"/>
                <w:b/>
                <w:bCs/>
              </w:rPr>
              <w:t>Infant length (cm)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8DDAE2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333333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333333"/>
                <w:kern w:val="0"/>
                <w:szCs w:val="21"/>
              </w:rPr>
              <w:t>50.00 (50.00, 50.00)</w:t>
            </w:r>
          </w:p>
        </w:tc>
      </w:tr>
      <w:tr w14:paraId="16B20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DAC6B3">
            <w:pPr>
              <w:widowControl/>
              <w:jc w:val="left"/>
              <w:textAlignment w:val="center"/>
              <w:rPr>
                <w:rStyle w:val="9"/>
                <w:rFonts w:ascii="Times New Roman" w:hAnsi="Times New Roman" w:cs="Times New Roman"/>
                <w:b/>
                <w:bCs/>
              </w:rPr>
            </w:pPr>
            <w:r>
              <w:rPr>
                <w:rStyle w:val="9"/>
                <w:rFonts w:ascii="Times New Roman" w:hAnsi="Times New Roman" w:cs="Times New Roman"/>
                <w:b/>
                <w:bCs/>
              </w:rPr>
              <w:t>Birthweight (g)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4B993C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231F2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3,329.82</w:t>
            </w:r>
            <w:r>
              <w:rPr>
                <w:rFonts w:hint="eastAsia" w:ascii="Times New Roman" w:hAnsi="Times New Roman" w:eastAsia="Times New Roman Uni" w:cs="Times New Roman"/>
                <w:color w:val="231F2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±</w:t>
            </w:r>
            <w:r>
              <w:rPr>
                <w:rFonts w:hint="eastAsia" w:ascii="Times New Roman" w:hAnsi="Times New Roman" w:eastAsia="Times New Roman Uni" w:cs="Times New Roman"/>
                <w:color w:val="231F2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Times New Roman Uni" w:cs="Times New Roman"/>
                <w:color w:val="231F20"/>
                <w:kern w:val="0"/>
                <w:szCs w:val="21"/>
              </w:rPr>
              <w:t>442.01</w:t>
            </w:r>
          </w:p>
        </w:tc>
      </w:tr>
      <w:tr w14:paraId="5BC0D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99289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hint="eastAsia" w:ascii="Times New Roman" w:hAnsi="Times New Roman" w:cs="Times New Roman"/>
                <w:lang w:val="en-US" w:eastAsia="zh-CN"/>
              </w:rPr>
              <w:t>Low birthweight</w:t>
            </w:r>
            <w:r>
              <w:rPr>
                <w:rStyle w:val="9"/>
                <w:rFonts w:ascii="Times New Roman" w:hAnsi="Times New Roman" w:cs="Times New Roman"/>
              </w:rPr>
              <w:t>, n(%)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4A4B9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000000"/>
                <w:kern w:val="0"/>
                <w:szCs w:val="21"/>
              </w:rPr>
              <w:t>24 (2.67)</w:t>
            </w:r>
          </w:p>
        </w:tc>
      </w:tr>
      <w:tr w14:paraId="45725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488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144CC4C6">
            <w:pPr>
              <w:widowControl/>
              <w:ind w:left="210" w:leftChars="100" w:firstLine="210" w:firstLineChars="100"/>
              <w:jc w:val="left"/>
              <w:textAlignment w:val="center"/>
              <w:rPr>
                <w:rStyle w:val="9"/>
                <w:rFonts w:ascii="Times New Roman" w:hAnsi="Times New Roman" w:cs="Times New Roman"/>
              </w:rPr>
            </w:pPr>
            <w:r>
              <w:rPr>
                <w:rStyle w:val="9"/>
                <w:rFonts w:ascii="Times New Roman" w:hAnsi="Times New Roman" w:cs="Times New Roman"/>
              </w:rPr>
              <w:t>Macrosomia, n</w:t>
            </w:r>
            <w:r>
              <w:rPr>
                <w:rStyle w:val="9"/>
                <w:rFonts w:hint="eastAsia" w:ascii="Times New Roman" w:hAnsi="Times New Roman" w:cs="Times New Roman"/>
                <w:lang w:val="en-US" w:eastAsia="zh-CN"/>
              </w:rPr>
              <w:t xml:space="preserve"> </w:t>
            </w:r>
            <w:r>
              <w:rPr>
                <w:rStyle w:val="9"/>
                <w:rFonts w:ascii="Times New Roman" w:hAnsi="Times New Roman" w:cs="Times New Roman"/>
              </w:rPr>
              <w:t>(%)</w:t>
            </w:r>
          </w:p>
        </w:tc>
        <w:tc>
          <w:tcPr>
            <w:tcW w:w="3359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vAlign w:val="center"/>
          </w:tcPr>
          <w:p w14:paraId="75A94C50">
            <w:pPr>
              <w:widowControl/>
              <w:jc w:val="center"/>
              <w:textAlignment w:val="center"/>
              <w:rPr>
                <w:rFonts w:ascii="Times New Roman" w:hAnsi="Times New Roman" w:eastAsia="Times New Roman Uni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Times New Roman Uni" w:cs="Times New Roman"/>
                <w:color w:val="000000"/>
                <w:kern w:val="0"/>
                <w:szCs w:val="21"/>
              </w:rPr>
              <w:t>56 (6.24)</w:t>
            </w:r>
          </w:p>
        </w:tc>
      </w:tr>
    </w:tbl>
    <w:p w14:paraId="4F499F04">
      <w:pPr>
        <w:rPr>
          <w:rFonts w:hint="default" w:ascii="Times New Roman" w:hAnsi="Times New Roman" w:cs="Times New Roman"/>
          <w:sz w:val="22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795BA3DC">
      <w:pPr>
        <w:bidi w:val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bookmarkStart w:id="8" w:name="_Toc18811"/>
      <w:r>
        <w:rPr>
          <w:rFonts w:hint="default" w:ascii="Times New Roman" w:hAnsi="Times New Roman" w:cs="Times New Roman"/>
          <w:b/>
          <w:bCs/>
          <w:lang w:val="en-US" w:eastAsia="zh-CN"/>
        </w:rPr>
        <w:t>Table S2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C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omparison analysis of data before and after imputation</w:t>
      </w:r>
      <w:bookmarkEnd w:id="8"/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</w:t>
      </w:r>
    </w:p>
    <w:tbl>
      <w:tblPr>
        <w:tblStyle w:val="4"/>
        <w:tblW w:w="0" w:type="auto"/>
        <w:tblInd w:w="-122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2"/>
        <w:gridCol w:w="1945"/>
        <w:gridCol w:w="1869"/>
        <w:gridCol w:w="889"/>
        <w:gridCol w:w="779"/>
      </w:tblGrid>
      <w:tr w14:paraId="5F21FA0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2E2AF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Characteristics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 w14:paraId="2BF67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Data without imputation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(n = 734)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 w14:paraId="6C12F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Data with imputation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(n = 734)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74F39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 values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4C6CF4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SMD</w:t>
            </w:r>
          </w:p>
        </w:tc>
      </w:tr>
      <w:tr w14:paraId="61EB123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</w:tcBorders>
            <w:noWrap/>
            <w:vAlign w:val="center"/>
          </w:tcPr>
          <w:p w14:paraId="03F9E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Maternal age (years)</w:t>
            </w:r>
          </w:p>
        </w:tc>
        <w:tc>
          <w:tcPr>
            <w:tcW w:w="0" w:type="auto"/>
            <w:tcBorders>
              <w:top w:val="single" w:color="auto" w:sz="4" w:space="0"/>
            </w:tcBorders>
            <w:noWrap/>
            <w:vAlign w:val="center"/>
          </w:tcPr>
          <w:p w14:paraId="3A4A4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27.00 (25.00, 30.00)</w:t>
            </w:r>
          </w:p>
        </w:tc>
        <w:tc>
          <w:tcPr>
            <w:tcW w:w="0" w:type="auto"/>
            <w:tcBorders>
              <w:top w:val="single" w:color="auto" w:sz="4" w:space="0"/>
            </w:tcBorders>
            <w:noWrap/>
            <w:vAlign w:val="center"/>
          </w:tcPr>
          <w:p w14:paraId="54CF1B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27.00 (25.00, 30.00)</w:t>
            </w:r>
          </w:p>
        </w:tc>
        <w:tc>
          <w:tcPr>
            <w:tcW w:w="0" w:type="auto"/>
            <w:tcBorders>
              <w:top w:val="single" w:color="auto" w:sz="4" w:space="0"/>
            </w:tcBorders>
            <w:noWrap/>
            <w:vAlign w:val="center"/>
          </w:tcPr>
          <w:p w14:paraId="518CAA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0.998</w:t>
            </w:r>
          </w:p>
        </w:tc>
        <w:tc>
          <w:tcPr>
            <w:tcW w:w="0" w:type="auto"/>
            <w:tcBorders>
              <w:top w:val="single" w:color="auto" w:sz="4" w:space="0"/>
            </w:tcBorders>
            <w:noWrap/>
            <w:vAlign w:val="center"/>
          </w:tcPr>
          <w:p w14:paraId="69108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</w:t>
            </w:r>
          </w:p>
        </w:tc>
      </w:tr>
      <w:tr w14:paraId="7E5E5BC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5134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Han ethnicity</w:t>
            </w:r>
          </w:p>
        </w:tc>
        <w:tc>
          <w:tcPr>
            <w:tcW w:w="0" w:type="auto"/>
            <w:noWrap/>
            <w:vAlign w:val="center"/>
          </w:tcPr>
          <w:p w14:paraId="48697B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683 (93.1) </w:t>
            </w:r>
          </w:p>
        </w:tc>
        <w:tc>
          <w:tcPr>
            <w:tcW w:w="0" w:type="auto"/>
            <w:noWrap/>
            <w:vAlign w:val="center"/>
          </w:tcPr>
          <w:p w14:paraId="6E5DC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682 (93.0) </w:t>
            </w:r>
          </w:p>
        </w:tc>
        <w:tc>
          <w:tcPr>
            <w:tcW w:w="0" w:type="auto"/>
            <w:noWrap/>
            <w:vAlign w:val="center"/>
          </w:tcPr>
          <w:p w14:paraId="45868B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noWrap/>
            <w:vAlign w:val="center"/>
          </w:tcPr>
          <w:p w14:paraId="3EF25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&lt;0.001</w:t>
            </w:r>
          </w:p>
        </w:tc>
      </w:tr>
      <w:tr w14:paraId="73C97CE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20236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Primipara</w:t>
            </w:r>
          </w:p>
        </w:tc>
        <w:tc>
          <w:tcPr>
            <w:tcW w:w="0" w:type="auto"/>
            <w:noWrap/>
            <w:vAlign w:val="center"/>
          </w:tcPr>
          <w:p w14:paraId="1AE0D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290 (39.5) </w:t>
            </w:r>
          </w:p>
        </w:tc>
        <w:tc>
          <w:tcPr>
            <w:tcW w:w="0" w:type="auto"/>
            <w:noWrap/>
            <w:vAlign w:val="center"/>
          </w:tcPr>
          <w:p w14:paraId="78A42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289 (39.4) </w:t>
            </w:r>
          </w:p>
        </w:tc>
        <w:tc>
          <w:tcPr>
            <w:tcW w:w="0" w:type="auto"/>
            <w:noWrap/>
            <w:vAlign w:val="center"/>
          </w:tcPr>
          <w:p w14:paraId="3EE876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noWrap/>
            <w:vAlign w:val="center"/>
          </w:tcPr>
          <w:p w14:paraId="22B6C2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</w:tr>
      <w:tr w14:paraId="14718F7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5D21A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Receiving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 12 years' education</w:t>
            </w:r>
          </w:p>
        </w:tc>
        <w:tc>
          <w:tcPr>
            <w:tcW w:w="0" w:type="auto"/>
            <w:noWrap/>
            <w:vAlign w:val="center"/>
          </w:tcPr>
          <w:p w14:paraId="1BF8D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437 (59.5) </w:t>
            </w:r>
          </w:p>
        </w:tc>
        <w:tc>
          <w:tcPr>
            <w:tcW w:w="0" w:type="auto"/>
            <w:noWrap/>
            <w:vAlign w:val="center"/>
          </w:tcPr>
          <w:p w14:paraId="03BE99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437 (59.7) </w:t>
            </w:r>
          </w:p>
        </w:tc>
        <w:tc>
          <w:tcPr>
            <w:tcW w:w="0" w:type="auto"/>
            <w:noWrap/>
            <w:vAlign w:val="center"/>
          </w:tcPr>
          <w:p w14:paraId="6BFEA3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0.992</w:t>
            </w:r>
          </w:p>
        </w:tc>
        <w:tc>
          <w:tcPr>
            <w:tcW w:w="0" w:type="auto"/>
            <w:noWrap/>
            <w:vAlign w:val="center"/>
          </w:tcPr>
          <w:p w14:paraId="724FF5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</w:t>
            </w:r>
          </w:p>
        </w:tc>
      </w:tr>
      <w:tr w14:paraId="447A5D2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41B4F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BMI before pregnancy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(kg/m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14:paraId="11F34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21.23 (19.53, 23.41)</w:t>
            </w:r>
          </w:p>
        </w:tc>
        <w:tc>
          <w:tcPr>
            <w:tcW w:w="0" w:type="auto"/>
            <w:noWrap/>
            <w:vAlign w:val="center"/>
          </w:tcPr>
          <w:p w14:paraId="64CD3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21.23 (19.53, 23.39)</w:t>
            </w:r>
          </w:p>
        </w:tc>
        <w:tc>
          <w:tcPr>
            <w:tcW w:w="0" w:type="auto"/>
            <w:noWrap/>
            <w:vAlign w:val="center"/>
          </w:tcPr>
          <w:p w14:paraId="0DD8DB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0.935</w:t>
            </w:r>
          </w:p>
        </w:tc>
        <w:tc>
          <w:tcPr>
            <w:tcW w:w="0" w:type="auto"/>
            <w:noWrap/>
            <w:vAlign w:val="center"/>
          </w:tcPr>
          <w:p w14:paraId="6F630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</w:tr>
      <w:tr w14:paraId="73CFED9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6AEFC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Fasting blood glucose (mmol/L)</w:t>
            </w:r>
          </w:p>
        </w:tc>
        <w:tc>
          <w:tcPr>
            <w:tcW w:w="0" w:type="auto"/>
            <w:noWrap/>
            <w:vAlign w:val="center"/>
          </w:tcPr>
          <w:p w14:paraId="3C63B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4.75 (4.51, 4.95)</w:t>
            </w:r>
          </w:p>
        </w:tc>
        <w:tc>
          <w:tcPr>
            <w:tcW w:w="0" w:type="auto"/>
            <w:noWrap/>
            <w:vAlign w:val="center"/>
          </w:tcPr>
          <w:p w14:paraId="1CDC9D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4.75 (4.51, 4.96)</w:t>
            </w:r>
          </w:p>
        </w:tc>
        <w:tc>
          <w:tcPr>
            <w:tcW w:w="0" w:type="auto"/>
            <w:noWrap/>
            <w:vAlign w:val="center"/>
          </w:tcPr>
          <w:p w14:paraId="3B5B37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124302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</w:tr>
      <w:tr w14:paraId="6D695E4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4D2256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Gestational age (weeks)</w:t>
            </w:r>
          </w:p>
        </w:tc>
        <w:tc>
          <w:tcPr>
            <w:tcW w:w="0" w:type="auto"/>
            <w:noWrap/>
            <w:vAlign w:val="center"/>
          </w:tcPr>
          <w:p w14:paraId="289FDB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39.00 (38.00, 40.00)</w:t>
            </w:r>
          </w:p>
        </w:tc>
        <w:tc>
          <w:tcPr>
            <w:tcW w:w="0" w:type="auto"/>
            <w:noWrap/>
            <w:vAlign w:val="center"/>
          </w:tcPr>
          <w:p w14:paraId="1D64C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39.00 (38.00, 40.00)</w:t>
            </w:r>
          </w:p>
        </w:tc>
        <w:tc>
          <w:tcPr>
            <w:tcW w:w="0" w:type="auto"/>
            <w:noWrap/>
            <w:vAlign w:val="center"/>
          </w:tcPr>
          <w:p w14:paraId="14705E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0.979</w:t>
            </w:r>
          </w:p>
        </w:tc>
        <w:tc>
          <w:tcPr>
            <w:tcW w:w="0" w:type="auto"/>
            <w:noWrap/>
            <w:vAlign w:val="center"/>
          </w:tcPr>
          <w:p w14:paraId="5AFDCE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</w:tr>
      <w:tr w14:paraId="5347320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1B4D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Gestational weight gain (kg)</w:t>
            </w:r>
          </w:p>
        </w:tc>
        <w:tc>
          <w:tcPr>
            <w:tcW w:w="0" w:type="auto"/>
            <w:noWrap/>
            <w:vAlign w:val="center"/>
          </w:tcPr>
          <w:p w14:paraId="0E89AB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14.00 (11.00, 17.50)</w:t>
            </w:r>
          </w:p>
        </w:tc>
        <w:tc>
          <w:tcPr>
            <w:tcW w:w="0" w:type="auto"/>
            <w:noWrap/>
            <w:vAlign w:val="center"/>
          </w:tcPr>
          <w:p w14:paraId="541AF6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14.00 (11.00, 17.20)</w:t>
            </w:r>
          </w:p>
        </w:tc>
        <w:tc>
          <w:tcPr>
            <w:tcW w:w="0" w:type="auto"/>
            <w:noWrap/>
            <w:vAlign w:val="center"/>
          </w:tcPr>
          <w:p w14:paraId="770DF6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0.914</w:t>
            </w:r>
          </w:p>
        </w:tc>
        <w:tc>
          <w:tcPr>
            <w:tcW w:w="0" w:type="auto"/>
            <w:noWrap/>
            <w:vAlign w:val="center"/>
          </w:tcPr>
          <w:p w14:paraId="75B6AA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</w:tr>
      <w:tr w14:paraId="647B00C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1D4A4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Vaginal delivery </w:t>
            </w:r>
          </w:p>
        </w:tc>
        <w:tc>
          <w:tcPr>
            <w:tcW w:w="0" w:type="auto"/>
            <w:noWrap/>
            <w:vAlign w:val="center"/>
          </w:tcPr>
          <w:p w14:paraId="0EA95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475 (64.7) </w:t>
            </w:r>
          </w:p>
        </w:tc>
        <w:tc>
          <w:tcPr>
            <w:tcW w:w="0" w:type="auto"/>
            <w:noWrap/>
            <w:vAlign w:val="center"/>
          </w:tcPr>
          <w:p w14:paraId="07D28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475 (64.8) </w:t>
            </w:r>
          </w:p>
        </w:tc>
        <w:tc>
          <w:tcPr>
            <w:tcW w:w="0" w:type="auto"/>
            <w:noWrap/>
            <w:vAlign w:val="center"/>
          </w:tcPr>
          <w:p w14:paraId="7888D9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noWrap/>
            <w:vAlign w:val="center"/>
          </w:tcPr>
          <w:p w14:paraId="5D36C5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</w:tr>
      <w:tr w14:paraId="61DBCF3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68A02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Newborn length (cm)</w:t>
            </w:r>
          </w:p>
        </w:tc>
        <w:tc>
          <w:tcPr>
            <w:tcW w:w="0" w:type="auto"/>
            <w:noWrap/>
            <w:vAlign w:val="center"/>
          </w:tcPr>
          <w:p w14:paraId="26F47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50.00 (50.00, 50.00)</w:t>
            </w:r>
          </w:p>
        </w:tc>
        <w:tc>
          <w:tcPr>
            <w:tcW w:w="0" w:type="auto"/>
            <w:noWrap/>
            <w:vAlign w:val="center"/>
          </w:tcPr>
          <w:p w14:paraId="06E30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50.00 (50.00, 50.00)</w:t>
            </w:r>
          </w:p>
        </w:tc>
        <w:tc>
          <w:tcPr>
            <w:tcW w:w="0" w:type="auto"/>
            <w:noWrap/>
            <w:vAlign w:val="center"/>
          </w:tcPr>
          <w:p w14:paraId="2379AB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0DE4AA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</w:t>
            </w:r>
          </w:p>
        </w:tc>
      </w:tr>
      <w:tr w14:paraId="269D26B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768A6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&lt; 7000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RMB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of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amily income per month </w:t>
            </w:r>
          </w:p>
        </w:tc>
        <w:tc>
          <w:tcPr>
            <w:tcW w:w="0" w:type="auto"/>
            <w:noWrap/>
            <w:vAlign w:val="center"/>
          </w:tcPr>
          <w:p w14:paraId="2D395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391 (53.3) </w:t>
            </w:r>
          </w:p>
        </w:tc>
        <w:tc>
          <w:tcPr>
            <w:tcW w:w="0" w:type="auto"/>
            <w:noWrap/>
            <w:vAlign w:val="center"/>
          </w:tcPr>
          <w:p w14:paraId="6BE00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299 (52.2) </w:t>
            </w:r>
          </w:p>
        </w:tc>
        <w:tc>
          <w:tcPr>
            <w:tcW w:w="0" w:type="auto"/>
            <w:noWrap/>
            <w:vAlign w:val="center"/>
          </w:tcPr>
          <w:p w14:paraId="45CB9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0.737</w:t>
            </w:r>
          </w:p>
        </w:tc>
        <w:tc>
          <w:tcPr>
            <w:tcW w:w="0" w:type="auto"/>
            <w:noWrap/>
            <w:vAlign w:val="center"/>
          </w:tcPr>
          <w:p w14:paraId="5DC098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</w:tr>
      <w:tr w14:paraId="4A8DD3F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4A6D2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Working during pregnancy</w:t>
            </w:r>
          </w:p>
        </w:tc>
        <w:tc>
          <w:tcPr>
            <w:tcW w:w="0" w:type="auto"/>
            <w:noWrap/>
            <w:vAlign w:val="center"/>
          </w:tcPr>
          <w:p w14:paraId="29F94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393 (53.5) </w:t>
            </w:r>
          </w:p>
        </w:tc>
        <w:tc>
          <w:tcPr>
            <w:tcW w:w="0" w:type="auto"/>
            <w:noWrap/>
            <w:vAlign w:val="center"/>
          </w:tcPr>
          <w:p w14:paraId="77FB0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338 (53.3) </w:t>
            </w:r>
          </w:p>
        </w:tc>
        <w:tc>
          <w:tcPr>
            <w:tcW w:w="0" w:type="auto"/>
            <w:noWrap/>
            <w:vAlign w:val="center"/>
          </w:tcPr>
          <w:p w14:paraId="4BE4E6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0.976</w:t>
            </w:r>
          </w:p>
        </w:tc>
        <w:tc>
          <w:tcPr>
            <w:tcW w:w="0" w:type="auto"/>
            <w:noWrap/>
            <w:vAlign w:val="center"/>
          </w:tcPr>
          <w:p w14:paraId="7BA8FE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0.005</w:t>
            </w:r>
          </w:p>
        </w:tc>
      </w:tr>
      <w:tr w14:paraId="5985ACE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4B230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Sleep duration during pregnancy</w:t>
            </w:r>
          </w:p>
        </w:tc>
        <w:tc>
          <w:tcPr>
            <w:tcW w:w="0" w:type="auto"/>
            <w:noWrap/>
            <w:vAlign w:val="center"/>
          </w:tcPr>
          <w:p w14:paraId="7E034A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8.00 (8.00, 9.00)</w:t>
            </w:r>
          </w:p>
        </w:tc>
        <w:tc>
          <w:tcPr>
            <w:tcW w:w="0" w:type="auto"/>
            <w:noWrap/>
            <w:vAlign w:val="center"/>
          </w:tcPr>
          <w:p w14:paraId="7D131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8.00 (8.00, 9.00)</w:t>
            </w:r>
          </w:p>
        </w:tc>
        <w:tc>
          <w:tcPr>
            <w:tcW w:w="0" w:type="auto"/>
            <w:noWrap/>
            <w:vAlign w:val="center"/>
          </w:tcPr>
          <w:p w14:paraId="6CC730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0.744</w:t>
            </w:r>
          </w:p>
        </w:tc>
        <w:tc>
          <w:tcPr>
            <w:tcW w:w="0" w:type="auto"/>
            <w:noWrap/>
            <w:vAlign w:val="center"/>
          </w:tcPr>
          <w:p w14:paraId="258AAF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</w:p>
        </w:tc>
      </w:tr>
      <w:tr w14:paraId="5A3105C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79F6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Drinking before pregnancy</w:t>
            </w:r>
          </w:p>
        </w:tc>
        <w:tc>
          <w:tcPr>
            <w:tcW w:w="0" w:type="auto"/>
            <w:noWrap/>
            <w:vAlign w:val="center"/>
          </w:tcPr>
          <w:p w14:paraId="30939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 ( 5.9) </w:t>
            </w:r>
          </w:p>
        </w:tc>
        <w:tc>
          <w:tcPr>
            <w:tcW w:w="0" w:type="auto"/>
            <w:noWrap/>
            <w:vAlign w:val="center"/>
          </w:tcPr>
          <w:p w14:paraId="4C6E17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 ( 5.9) </w:t>
            </w:r>
          </w:p>
        </w:tc>
        <w:tc>
          <w:tcPr>
            <w:tcW w:w="0" w:type="auto"/>
            <w:noWrap/>
            <w:vAlign w:val="center"/>
          </w:tcPr>
          <w:p w14:paraId="0118D6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noWrap/>
            <w:vAlign w:val="center"/>
          </w:tcPr>
          <w:p w14:paraId="7C71F7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</w:tr>
      <w:tr w14:paraId="3B4BFA2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EF9A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Smoking before pregnancy</w:t>
            </w:r>
          </w:p>
        </w:tc>
        <w:tc>
          <w:tcPr>
            <w:tcW w:w="0" w:type="auto"/>
            <w:noWrap/>
            <w:vAlign w:val="center"/>
          </w:tcPr>
          <w:p w14:paraId="281CC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( 1.6) </w:t>
            </w:r>
          </w:p>
        </w:tc>
        <w:tc>
          <w:tcPr>
            <w:tcW w:w="0" w:type="auto"/>
            <w:noWrap/>
            <w:vAlign w:val="center"/>
          </w:tcPr>
          <w:p w14:paraId="18FBC6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( 1.8) </w:t>
            </w:r>
          </w:p>
        </w:tc>
        <w:tc>
          <w:tcPr>
            <w:tcW w:w="0" w:type="auto"/>
            <w:noWrap/>
            <w:vAlign w:val="center"/>
          </w:tcPr>
          <w:p w14:paraId="6472AE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noWrap/>
            <w:vAlign w:val="center"/>
          </w:tcPr>
          <w:p w14:paraId="3A077B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</w:tr>
      <w:tr w14:paraId="3896F8A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5FF0C4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&lt; 3 frequencies of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hysical exercise during pregnancy per week</w:t>
            </w:r>
          </w:p>
        </w:tc>
        <w:tc>
          <w:tcPr>
            <w:tcW w:w="0" w:type="auto"/>
            <w:noWrap/>
            <w:vAlign w:val="center"/>
          </w:tcPr>
          <w:p w14:paraId="4CD6D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443 (60.4) </w:t>
            </w:r>
          </w:p>
        </w:tc>
        <w:tc>
          <w:tcPr>
            <w:tcW w:w="0" w:type="auto"/>
            <w:noWrap/>
            <w:vAlign w:val="center"/>
          </w:tcPr>
          <w:p w14:paraId="24785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363 (59.2) </w:t>
            </w:r>
          </w:p>
        </w:tc>
        <w:tc>
          <w:tcPr>
            <w:tcW w:w="0" w:type="auto"/>
            <w:noWrap/>
            <w:vAlign w:val="center"/>
          </w:tcPr>
          <w:p w14:paraId="37B66B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0.713</w:t>
            </w:r>
          </w:p>
        </w:tc>
        <w:tc>
          <w:tcPr>
            <w:tcW w:w="0" w:type="auto"/>
            <w:noWrap/>
            <w:vAlign w:val="center"/>
          </w:tcPr>
          <w:p w14:paraId="5E6D13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</w:t>
            </w:r>
          </w:p>
        </w:tc>
      </w:tr>
      <w:tr w14:paraId="20496CE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710193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cereals intake per week</w:t>
            </w:r>
          </w:p>
        </w:tc>
        <w:tc>
          <w:tcPr>
            <w:tcW w:w="0" w:type="auto"/>
            <w:noWrap/>
            <w:vAlign w:val="center"/>
          </w:tcPr>
          <w:p w14:paraId="16AF5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704 (95.9) </w:t>
            </w:r>
          </w:p>
        </w:tc>
        <w:tc>
          <w:tcPr>
            <w:tcW w:w="0" w:type="auto"/>
            <w:noWrap/>
            <w:vAlign w:val="center"/>
          </w:tcPr>
          <w:p w14:paraId="340380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651 (95.7) </w:t>
            </w:r>
          </w:p>
        </w:tc>
        <w:tc>
          <w:tcPr>
            <w:tcW w:w="0" w:type="auto"/>
            <w:noWrap/>
            <w:vAlign w:val="center"/>
          </w:tcPr>
          <w:p w14:paraId="14E927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0.973</w:t>
            </w:r>
          </w:p>
        </w:tc>
        <w:tc>
          <w:tcPr>
            <w:tcW w:w="0" w:type="auto"/>
            <w:noWrap/>
            <w:vAlign w:val="center"/>
          </w:tcPr>
          <w:p w14:paraId="43DD5F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</w:tr>
      <w:tr w14:paraId="1AD781B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61830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nuts intake per week</w:t>
            </w:r>
          </w:p>
        </w:tc>
        <w:tc>
          <w:tcPr>
            <w:tcW w:w="0" w:type="auto"/>
            <w:noWrap/>
            <w:vAlign w:val="center"/>
          </w:tcPr>
          <w:p w14:paraId="33910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 (24.5) </w:t>
            </w:r>
          </w:p>
        </w:tc>
        <w:tc>
          <w:tcPr>
            <w:tcW w:w="0" w:type="auto"/>
            <w:noWrap/>
            <w:vAlign w:val="center"/>
          </w:tcPr>
          <w:p w14:paraId="26A67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168 (25.6) </w:t>
            </w:r>
          </w:p>
        </w:tc>
        <w:tc>
          <w:tcPr>
            <w:tcW w:w="0" w:type="auto"/>
            <w:noWrap/>
            <w:vAlign w:val="center"/>
          </w:tcPr>
          <w:p w14:paraId="1A2678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0.674</w:t>
            </w:r>
          </w:p>
        </w:tc>
        <w:tc>
          <w:tcPr>
            <w:tcW w:w="0" w:type="auto"/>
            <w:noWrap/>
            <w:vAlign w:val="center"/>
          </w:tcPr>
          <w:p w14:paraId="2A8E92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</w:tr>
      <w:tr w14:paraId="08335D6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7A57C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meats intake per week</w:t>
            </w:r>
          </w:p>
        </w:tc>
        <w:tc>
          <w:tcPr>
            <w:tcW w:w="0" w:type="auto"/>
            <w:noWrap/>
            <w:vAlign w:val="center"/>
          </w:tcPr>
          <w:p w14:paraId="6A555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374 (51.0) </w:t>
            </w:r>
          </w:p>
        </w:tc>
        <w:tc>
          <w:tcPr>
            <w:tcW w:w="0" w:type="auto"/>
            <w:noWrap/>
            <w:vAlign w:val="center"/>
          </w:tcPr>
          <w:p w14:paraId="3A9AA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351 (51.5) </w:t>
            </w:r>
          </w:p>
        </w:tc>
        <w:tc>
          <w:tcPr>
            <w:tcW w:w="0" w:type="auto"/>
            <w:noWrap/>
            <w:vAlign w:val="center"/>
          </w:tcPr>
          <w:p w14:paraId="107F51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0.889</w:t>
            </w:r>
          </w:p>
        </w:tc>
        <w:tc>
          <w:tcPr>
            <w:tcW w:w="0" w:type="auto"/>
            <w:noWrap/>
            <w:vAlign w:val="center"/>
          </w:tcPr>
          <w:p w14:paraId="23DBB5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4D5C7B7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1D51E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seafood intake per week</w:t>
            </w:r>
          </w:p>
        </w:tc>
        <w:tc>
          <w:tcPr>
            <w:tcW w:w="0" w:type="auto"/>
            <w:noWrap/>
            <w:vAlign w:val="center"/>
          </w:tcPr>
          <w:p w14:paraId="48D48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202 (27.5) </w:t>
            </w:r>
          </w:p>
        </w:tc>
        <w:tc>
          <w:tcPr>
            <w:tcW w:w="0" w:type="auto"/>
            <w:noWrap/>
            <w:vAlign w:val="center"/>
          </w:tcPr>
          <w:p w14:paraId="0DF49D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192 (28.3) </w:t>
            </w:r>
          </w:p>
        </w:tc>
        <w:tc>
          <w:tcPr>
            <w:tcW w:w="0" w:type="auto"/>
            <w:noWrap/>
            <w:vAlign w:val="center"/>
          </w:tcPr>
          <w:p w14:paraId="16C4C0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0.797</w:t>
            </w:r>
          </w:p>
        </w:tc>
        <w:tc>
          <w:tcPr>
            <w:tcW w:w="0" w:type="auto"/>
            <w:noWrap/>
            <w:vAlign w:val="center"/>
          </w:tcPr>
          <w:p w14:paraId="166A47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</w:t>
            </w:r>
          </w:p>
        </w:tc>
      </w:tr>
      <w:tr w14:paraId="4E68444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3E1AB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soybean intake per week</w:t>
            </w:r>
          </w:p>
        </w:tc>
        <w:tc>
          <w:tcPr>
            <w:tcW w:w="0" w:type="auto"/>
            <w:noWrap/>
            <w:vAlign w:val="center"/>
          </w:tcPr>
          <w:p w14:paraId="40F335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248 (33.8) </w:t>
            </w:r>
          </w:p>
        </w:tc>
        <w:tc>
          <w:tcPr>
            <w:tcW w:w="0" w:type="auto"/>
            <w:noWrap/>
            <w:vAlign w:val="center"/>
          </w:tcPr>
          <w:p w14:paraId="2013C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231 (34.0) </w:t>
            </w:r>
          </w:p>
        </w:tc>
        <w:tc>
          <w:tcPr>
            <w:tcW w:w="0" w:type="auto"/>
            <w:noWrap/>
            <w:vAlign w:val="center"/>
          </w:tcPr>
          <w:p w14:paraId="29F3D7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0.971</w:t>
            </w:r>
          </w:p>
        </w:tc>
        <w:tc>
          <w:tcPr>
            <w:tcW w:w="0" w:type="auto"/>
            <w:noWrap/>
            <w:vAlign w:val="center"/>
          </w:tcPr>
          <w:p w14:paraId="2E3735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0.005</w:t>
            </w:r>
          </w:p>
        </w:tc>
      </w:tr>
      <w:tr w14:paraId="1368DEB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5E80E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vegetable intake per week</w:t>
            </w:r>
          </w:p>
        </w:tc>
        <w:tc>
          <w:tcPr>
            <w:tcW w:w="0" w:type="auto"/>
            <w:noWrap/>
            <w:vAlign w:val="center"/>
          </w:tcPr>
          <w:p w14:paraId="78387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569 (77.5) </w:t>
            </w:r>
          </w:p>
        </w:tc>
        <w:tc>
          <w:tcPr>
            <w:tcW w:w="0" w:type="auto"/>
            <w:noWrap/>
            <w:vAlign w:val="center"/>
          </w:tcPr>
          <w:p w14:paraId="76242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525 (76.9) </w:t>
            </w:r>
          </w:p>
        </w:tc>
        <w:tc>
          <w:tcPr>
            <w:tcW w:w="0" w:type="auto"/>
            <w:noWrap/>
            <w:vAlign w:val="center"/>
          </w:tcPr>
          <w:p w14:paraId="55AFD4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0.818</w:t>
            </w:r>
          </w:p>
        </w:tc>
        <w:tc>
          <w:tcPr>
            <w:tcW w:w="0" w:type="auto"/>
            <w:noWrap/>
            <w:vAlign w:val="center"/>
          </w:tcPr>
          <w:p w14:paraId="3D1061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</w:p>
        </w:tc>
      </w:tr>
      <w:tr w14:paraId="3DB5F68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1B119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1 egg per day</w:t>
            </w:r>
          </w:p>
        </w:tc>
        <w:tc>
          <w:tcPr>
            <w:tcW w:w="0" w:type="auto"/>
            <w:noWrap/>
            <w:vAlign w:val="center"/>
          </w:tcPr>
          <w:p w14:paraId="0E3E42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321 (43.7) </w:t>
            </w:r>
          </w:p>
        </w:tc>
        <w:tc>
          <w:tcPr>
            <w:tcW w:w="0" w:type="auto"/>
            <w:noWrap/>
            <w:vAlign w:val="center"/>
          </w:tcPr>
          <w:p w14:paraId="07EC46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287 (42.8) </w:t>
            </w:r>
          </w:p>
        </w:tc>
        <w:tc>
          <w:tcPr>
            <w:tcW w:w="0" w:type="auto"/>
            <w:noWrap/>
            <w:vAlign w:val="center"/>
          </w:tcPr>
          <w:p w14:paraId="300F8B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0.776</w:t>
            </w:r>
          </w:p>
        </w:tc>
        <w:tc>
          <w:tcPr>
            <w:tcW w:w="0" w:type="auto"/>
            <w:noWrap/>
            <w:vAlign w:val="center"/>
          </w:tcPr>
          <w:p w14:paraId="186EA6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</w:tr>
      <w:tr w14:paraId="25440FE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07EBE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&gt; 7 frequencies of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fruits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intake per week</w:t>
            </w:r>
          </w:p>
        </w:tc>
        <w:tc>
          <w:tcPr>
            <w:tcW w:w="0" w:type="auto"/>
            <w:noWrap/>
            <w:vAlign w:val="center"/>
          </w:tcPr>
          <w:p w14:paraId="675A6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601 (81.9) </w:t>
            </w:r>
          </w:p>
        </w:tc>
        <w:tc>
          <w:tcPr>
            <w:tcW w:w="0" w:type="auto"/>
            <w:noWrap/>
            <w:vAlign w:val="center"/>
          </w:tcPr>
          <w:p w14:paraId="5D51D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549 (81.1) </w:t>
            </w:r>
          </w:p>
        </w:tc>
        <w:tc>
          <w:tcPr>
            <w:tcW w:w="0" w:type="auto"/>
            <w:noWrap/>
            <w:vAlign w:val="center"/>
          </w:tcPr>
          <w:p w14:paraId="0F2D03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0.755</w:t>
            </w:r>
          </w:p>
        </w:tc>
        <w:tc>
          <w:tcPr>
            <w:tcW w:w="0" w:type="auto"/>
            <w:noWrap/>
            <w:vAlign w:val="center"/>
          </w:tcPr>
          <w:p w14:paraId="53D302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A66954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noWrap/>
            <w:vAlign w:val="center"/>
          </w:tcPr>
          <w:p w14:paraId="1030B0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&gt; 7 frequencies of milk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and milk products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intake per week</w:t>
            </w:r>
          </w:p>
        </w:tc>
        <w:tc>
          <w:tcPr>
            <w:tcW w:w="0" w:type="auto"/>
            <w:noWrap/>
            <w:vAlign w:val="center"/>
          </w:tcPr>
          <w:p w14:paraId="73C1AC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287 (39.1) </w:t>
            </w:r>
          </w:p>
        </w:tc>
        <w:tc>
          <w:tcPr>
            <w:tcW w:w="0" w:type="auto"/>
            <w:noWrap/>
            <w:vAlign w:val="center"/>
          </w:tcPr>
          <w:p w14:paraId="1E0EF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268 (39.5) </w:t>
            </w:r>
          </w:p>
        </w:tc>
        <w:tc>
          <w:tcPr>
            <w:tcW w:w="0" w:type="auto"/>
            <w:noWrap/>
            <w:vAlign w:val="center"/>
          </w:tcPr>
          <w:p w14:paraId="10AE8C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4563B6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</w:tr>
      <w:tr w14:paraId="0ED2E3E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55BD3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 7 frequencies of folic acid intake per week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487B5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693 (94.4) 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09B67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580 (94.3) 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1B24BF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.000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/>
            <w:vAlign w:val="center"/>
          </w:tcPr>
          <w:p w14:paraId="778AD6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0.005</w:t>
            </w:r>
          </w:p>
        </w:tc>
      </w:tr>
    </w:tbl>
    <w:p w14:paraId="1516ABF0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Data are show as n (%), mean (SD), or median (lower quartile, upper quartile).</w:t>
      </w:r>
    </w:p>
    <w:p w14:paraId="076A3C14"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SD= standard deviance. </w:t>
      </w:r>
      <w:r>
        <w:rPr>
          <w:rFonts w:hint="default" w:ascii="Times New Roman" w:hAnsi="Times New Roman" w:cs="Times New Roman"/>
          <w:lang w:val="en-US" w:eastAsia="zh-CN"/>
        </w:rPr>
        <w:t>SMD</w:t>
      </w:r>
      <w:r>
        <w:rPr>
          <w:rFonts w:hint="eastAsia" w:ascii="Times New Roman" w:hAnsi="Times New Roman" w:cs="Times New Roman"/>
          <w:lang w:val="en-US" w:eastAsia="zh-CN"/>
        </w:rPr>
        <w:t xml:space="preserve"> =</w:t>
      </w:r>
      <w:r>
        <w:rPr>
          <w:rFonts w:hint="default" w:ascii="Times New Roman" w:hAnsi="Times New Roman" w:cs="Times New Roman"/>
          <w:lang w:val="en-US" w:eastAsia="zh-CN"/>
        </w:rPr>
        <w:t xml:space="preserve"> standardized mean </w:t>
      </w:r>
      <w:r>
        <w:rPr>
          <w:rFonts w:hint="eastAsia" w:ascii="Times New Roman" w:hAnsi="Times New Roman" w:cs="Times New Roman"/>
          <w:lang w:val="en-US" w:eastAsia="zh-CN"/>
        </w:rPr>
        <w:t>difference.</w:t>
      </w:r>
    </w:p>
    <w:p w14:paraId="476A0DA5">
      <w:pPr>
        <w:rPr>
          <w:rFonts w:hint="eastAsia" w:ascii="Times New Roman" w:hAnsi="Times New Roman" w:cs="Times New Roman"/>
          <w:lang w:val="en-US" w:eastAsia="zh-CN"/>
        </w:rPr>
        <w:sectPr>
          <w:pgSz w:w="11906" w:h="16838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Times New Roman" w:hAnsi="Times New Roman" w:cs="Times New Roman"/>
          <w:lang w:val="en-US" w:eastAsia="zh-CN"/>
        </w:rPr>
        <w:t>Multiple Imputation was performed by random forest</w:t>
      </w:r>
    </w:p>
    <w:p w14:paraId="7AD4EB99">
      <w:pPr>
        <w:bidi w:val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bookmarkStart w:id="9" w:name="_Toc2635"/>
      <w:r>
        <w:rPr>
          <w:rFonts w:hint="default" w:ascii="Times New Roman" w:hAnsi="Times New Roman" w:cs="Times New Roman"/>
          <w:b/>
          <w:bCs/>
          <w:lang w:val="en-US" w:eastAsia="zh-CN"/>
        </w:rPr>
        <w:t>Table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Sensitivity analysis on association of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the protein level of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PPAR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sym w:font="Symbol" w:char="0061"/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in maternal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serum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with incidence of macrosomia</w:t>
      </w:r>
      <w:bookmarkEnd w:id="9"/>
    </w:p>
    <w:tbl>
      <w:tblPr>
        <w:tblStyle w:val="4"/>
        <w:tblW w:w="4999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4"/>
        <w:gridCol w:w="2195"/>
        <w:gridCol w:w="2451"/>
        <w:gridCol w:w="1302"/>
        <w:gridCol w:w="1914"/>
        <w:gridCol w:w="1636"/>
        <w:gridCol w:w="2451"/>
        <w:gridCol w:w="1708"/>
      </w:tblGrid>
      <w:tr w14:paraId="5FFE61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26" w:type="pct"/>
            <w:vMerge w:val="restart"/>
            <w:noWrap w:val="0"/>
            <w:vAlign w:val="center"/>
          </w:tcPr>
          <w:p w14:paraId="21B1B7E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Variables</w:t>
            </w:r>
          </w:p>
        </w:tc>
        <w:tc>
          <w:tcPr>
            <w:tcW w:w="703" w:type="pct"/>
            <w:vMerge w:val="restart"/>
            <w:noWrap w:val="0"/>
            <w:vAlign w:val="center"/>
          </w:tcPr>
          <w:p w14:paraId="14572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of macrosomia/total</w:t>
            </w:r>
          </w:p>
        </w:tc>
        <w:tc>
          <w:tcPr>
            <w:tcW w:w="1202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BB48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Model 1 </w:t>
            </w:r>
          </w:p>
        </w:tc>
        <w:tc>
          <w:tcPr>
            <w:tcW w:w="1137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F86E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Model 2</w:t>
            </w:r>
          </w:p>
        </w:tc>
        <w:tc>
          <w:tcPr>
            <w:tcW w:w="1330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BAF1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Model 3</w:t>
            </w:r>
          </w:p>
        </w:tc>
      </w:tr>
      <w:tr w14:paraId="6A0C13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26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1AD4E0D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3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77262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85" w:type="pct"/>
            <w:tcBorders>
              <w:bottom w:val="single" w:color="auto" w:sz="4" w:space="0"/>
            </w:tcBorders>
            <w:noWrap w:val="0"/>
            <w:vAlign w:val="center"/>
          </w:tcPr>
          <w:p w14:paraId="55A0A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tcBorders>
              <w:bottom w:val="single" w:color="auto" w:sz="4" w:space="0"/>
            </w:tcBorders>
            <w:noWrap w:val="0"/>
            <w:vAlign w:val="center"/>
          </w:tcPr>
          <w:p w14:paraId="0C760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value</w:t>
            </w:r>
          </w:p>
        </w:tc>
        <w:tc>
          <w:tcPr>
            <w:tcW w:w="613" w:type="pct"/>
            <w:tcBorders>
              <w:bottom w:val="single" w:color="auto" w:sz="4" w:space="0"/>
            </w:tcBorders>
            <w:noWrap w:val="0"/>
            <w:vAlign w:val="center"/>
          </w:tcPr>
          <w:p w14:paraId="135E9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OR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tcBorders>
              <w:bottom w:val="single" w:color="auto" w:sz="4" w:space="0"/>
            </w:tcBorders>
            <w:noWrap w:val="0"/>
            <w:vAlign w:val="center"/>
          </w:tcPr>
          <w:p w14:paraId="71E2E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value</w:t>
            </w:r>
          </w:p>
        </w:tc>
        <w:tc>
          <w:tcPr>
            <w:tcW w:w="785" w:type="pct"/>
            <w:tcBorders>
              <w:bottom w:val="single" w:color="auto" w:sz="4" w:space="0"/>
            </w:tcBorders>
            <w:noWrap w:val="0"/>
            <w:vAlign w:val="center"/>
          </w:tcPr>
          <w:p w14:paraId="78CB1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OR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tcBorders>
              <w:bottom w:val="single" w:color="auto" w:sz="4" w:space="0"/>
            </w:tcBorders>
            <w:noWrap w:val="0"/>
            <w:vAlign w:val="center"/>
          </w:tcPr>
          <w:p w14:paraId="5F254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value</w:t>
            </w:r>
          </w:p>
        </w:tc>
      </w:tr>
      <w:tr w14:paraId="10FE69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5000" w:type="pct"/>
            <w:gridSpan w:val="8"/>
            <w:tcBorders>
              <w:bottom w:val="nil"/>
            </w:tcBorders>
            <w:shd w:val="clear" w:color="auto" w:fill="E7E6E6"/>
            <w:noWrap w:val="0"/>
            <w:vAlign w:val="center"/>
          </w:tcPr>
          <w:p w14:paraId="55FEA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Among neonate-mother pairs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≤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40 weeks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gestation</w:t>
            </w:r>
          </w:p>
        </w:tc>
      </w:tr>
      <w:tr w14:paraId="642856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tcBorders>
              <w:top w:val="nil"/>
            </w:tcBorders>
            <w:noWrap w:val="0"/>
            <w:vAlign w:val="center"/>
          </w:tcPr>
          <w:p w14:paraId="6744A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Per unit 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decrease</w:t>
            </w:r>
          </w:p>
        </w:tc>
        <w:tc>
          <w:tcPr>
            <w:tcW w:w="703" w:type="pct"/>
            <w:tcBorders>
              <w:top w:val="nil"/>
            </w:tcBorders>
            <w:noWrap w:val="0"/>
            <w:vAlign w:val="center"/>
          </w:tcPr>
          <w:p w14:paraId="0081A5D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85" w:type="pct"/>
            <w:tcBorders>
              <w:top w:val="nil"/>
            </w:tcBorders>
            <w:noWrap w:val="0"/>
            <w:vAlign w:val="center"/>
          </w:tcPr>
          <w:p w14:paraId="58A24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tcBorders>
              <w:top w:val="nil"/>
            </w:tcBorders>
            <w:noWrap w:val="0"/>
            <w:vAlign w:val="center"/>
          </w:tcPr>
          <w:p w14:paraId="26537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0.104</w:t>
            </w:r>
          </w:p>
        </w:tc>
        <w:tc>
          <w:tcPr>
            <w:tcW w:w="613" w:type="pct"/>
            <w:tcBorders>
              <w:top w:val="nil"/>
            </w:tcBorders>
            <w:noWrap w:val="0"/>
            <w:vAlign w:val="center"/>
          </w:tcPr>
          <w:p w14:paraId="2F61C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tcBorders>
              <w:top w:val="nil"/>
            </w:tcBorders>
            <w:noWrap w:val="0"/>
            <w:vAlign w:val="center"/>
          </w:tcPr>
          <w:p w14:paraId="5E89F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0.259</w:t>
            </w:r>
          </w:p>
        </w:tc>
        <w:tc>
          <w:tcPr>
            <w:tcW w:w="785" w:type="pct"/>
            <w:tcBorders>
              <w:top w:val="nil"/>
            </w:tcBorders>
            <w:noWrap w:val="0"/>
            <w:vAlign w:val="center"/>
          </w:tcPr>
          <w:p w14:paraId="2790D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tcBorders>
              <w:top w:val="nil"/>
            </w:tcBorders>
            <w:noWrap w:val="0"/>
            <w:vAlign w:val="center"/>
          </w:tcPr>
          <w:p w14:paraId="4694A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0.326</w:t>
            </w:r>
          </w:p>
        </w:tc>
      </w:tr>
      <w:tr w14:paraId="7E08B2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626" w:type="pct"/>
            <w:noWrap w:val="0"/>
            <w:vAlign w:val="center"/>
          </w:tcPr>
          <w:p w14:paraId="4D329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1</w:t>
            </w:r>
          </w:p>
        </w:tc>
        <w:tc>
          <w:tcPr>
            <w:tcW w:w="703" w:type="pct"/>
            <w:noWrap w:val="0"/>
            <w:vAlign w:val="center"/>
          </w:tcPr>
          <w:p w14:paraId="69421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85" w:type="pct"/>
            <w:noWrap w:val="0"/>
            <w:vAlign w:val="center"/>
          </w:tcPr>
          <w:p w14:paraId="2D80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, 1.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noWrap w:val="0"/>
            <w:vAlign w:val="center"/>
          </w:tcPr>
          <w:p w14:paraId="55A75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0.080</w:t>
            </w:r>
          </w:p>
        </w:tc>
        <w:tc>
          <w:tcPr>
            <w:tcW w:w="613" w:type="pct"/>
            <w:noWrap w:val="0"/>
            <w:vAlign w:val="center"/>
          </w:tcPr>
          <w:p w14:paraId="4246D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noWrap w:val="0"/>
            <w:vAlign w:val="center"/>
          </w:tcPr>
          <w:p w14:paraId="42BD8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0.240</w:t>
            </w:r>
          </w:p>
        </w:tc>
        <w:tc>
          <w:tcPr>
            <w:tcW w:w="785" w:type="pct"/>
            <w:noWrap w:val="0"/>
            <w:vAlign w:val="center"/>
          </w:tcPr>
          <w:p w14:paraId="1E2EE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noWrap w:val="0"/>
            <w:vAlign w:val="center"/>
          </w:tcPr>
          <w:p w14:paraId="78758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0.268</w:t>
            </w:r>
          </w:p>
        </w:tc>
      </w:tr>
      <w:tr w14:paraId="50C7BF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57074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2</w:t>
            </w:r>
          </w:p>
        </w:tc>
        <w:tc>
          <w:tcPr>
            <w:tcW w:w="703" w:type="pct"/>
            <w:noWrap w:val="0"/>
            <w:vAlign w:val="center"/>
          </w:tcPr>
          <w:p w14:paraId="3110E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85" w:type="pct"/>
            <w:noWrap w:val="0"/>
            <w:vAlign w:val="center"/>
          </w:tcPr>
          <w:p w14:paraId="15147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, 1.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noWrap w:val="0"/>
            <w:vAlign w:val="center"/>
          </w:tcPr>
          <w:p w14:paraId="37B12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0.056</w:t>
            </w:r>
          </w:p>
        </w:tc>
        <w:tc>
          <w:tcPr>
            <w:tcW w:w="613" w:type="pct"/>
            <w:noWrap w:val="0"/>
            <w:vAlign w:val="center"/>
          </w:tcPr>
          <w:p w14:paraId="4F7A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noWrap w:val="0"/>
            <w:vAlign w:val="center"/>
          </w:tcPr>
          <w:p w14:paraId="38274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0.045</w:t>
            </w:r>
          </w:p>
        </w:tc>
        <w:tc>
          <w:tcPr>
            <w:tcW w:w="785" w:type="pct"/>
            <w:noWrap w:val="0"/>
            <w:vAlign w:val="center"/>
          </w:tcPr>
          <w:p w14:paraId="3B48E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noWrap w:val="0"/>
            <w:vAlign w:val="center"/>
          </w:tcPr>
          <w:p w14:paraId="05063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</w:t>
            </w:r>
          </w:p>
        </w:tc>
      </w:tr>
      <w:tr w14:paraId="555DB3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1B5B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3</w:t>
            </w:r>
          </w:p>
        </w:tc>
        <w:tc>
          <w:tcPr>
            <w:tcW w:w="703" w:type="pct"/>
            <w:noWrap w:val="0"/>
            <w:vAlign w:val="center"/>
          </w:tcPr>
          <w:p w14:paraId="541E4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85" w:type="pct"/>
            <w:noWrap w:val="0"/>
            <w:vAlign w:val="center"/>
          </w:tcPr>
          <w:p w14:paraId="4F86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417" w:type="pct"/>
            <w:noWrap w:val="0"/>
            <w:vAlign w:val="center"/>
          </w:tcPr>
          <w:p w14:paraId="4C107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3" w:type="pct"/>
            <w:noWrap w:val="0"/>
            <w:vAlign w:val="center"/>
          </w:tcPr>
          <w:p w14:paraId="6B79C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23" w:type="pct"/>
            <w:noWrap w:val="0"/>
            <w:vAlign w:val="center"/>
          </w:tcPr>
          <w:p w14:paraId="56DDF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85" w:type="pct"/>
            <w:noWrap w:val="0"/>
            <w:vAlign w:val="center"/>
          </w:tcPr>
          <w:p w14:paraId="4A61B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45" w:type="pct"/>
            <w:noWrap w:val="0"/>
            <w:vAlign w:val="center"/>
          </w:tcPr>
          <w:p w14:paraId="2C5DF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DD8FA7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5000" w:type="pct"/>
            <w:gridSpan w:val="8"/>
            <w:shd w:val="clear" w:color="auto" w:fill="E7E6E6"/>
            <w:noWrap w:val="0"/>
            <w:vAlign w:val="center"/>
          </w:tcPr>
          <w:p w14:paraId="3FECC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Among 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neonate-mother pairs without history of macrosomia</w:t>
            </w:r>
          </w:p>
        </w:tc>
      </w:tr>
      <w:tr w14:paraId="30CEE0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29BD4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Per unit 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decrease</w:t>
            </w:r>
          </w:p>
        </w:tc>
        <w:tc>
          <w:tcPr>
            <w:tcW w:w="703" w:type="pct"/>
            <w:noWrap w:val="0"/>
            <w:vAlign w:val="center"/>
          </w:tcPr>
          <w:p w14:paraId="5D4F61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85" w:type="pct"/>
            <w:noWrap w:val="0"/>
            <w:vAlign w:val="center"/>
          </w:tcPr>
          <w:p w14:paraId="71D72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noWrap w:val="0"/>
            <w:vAlign w:val="center"/>
          </w:tcPr>
          <w:p w14:paraId="1C1C8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0.566</w:t>
            </w:r>
          </w:p>
        </w:tc>
        <w:tc>
          <w:tcPr>
            <w:tcW w:w="613" w:type="pct"/>
            <w:noWrap w:val="0"/>
            <w:vAlign w:val="center"/>
          </w:tcPr>
          <w:p w14:paraId="4F046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2.60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noWrap w:val="0"/>
            <w:vAlign w:val="center"/>
          </w:tcPr>
          <w:p w14:paraId="38189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0.927</w:t>
            </w:r>
          </w:p>
        </w:tc>
        <w:tc>
          <w:tcPr>
            <w:tcW w:w="785" w:type="pct"/>
            <w:noWrap w:val="0"/>
            <w:vAlign w:val="center"/>
          </w:tcPr>
          <w:p w14:paraId="64B8B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noWrap w:val="0"/>
            <w:vAlign w:val="center"/>
          </w:tcPr>
          <w:p w14:paraId="08F32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0.993</w:t>
            </w:r>
          </w:p>
        </w:tc>
      </w:tr>
      <w:tr w14:paraId="03B4E2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C5B6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1</w:t>
            </w:r>
          </w:p>
        </w:tc>
        <w:tc>
          <w:tcPr>
            <w:tcW w:w="703" w:type="pct"/>
            <w:noWrap w:val="0"/>
            <w:vAlign w:val="center"/>
          </w:tcPr>
          <w:p w14:paraId="5C92E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85" w:type="pct"/>
            <w:noWrap w:val="0"/>
            <w:vAlign w:val="center"/>
          </w:tcPr>
          <w:p w14:paraId="557D3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noWrap w:val="0"/>
            <w:vAlign w:val="center"/>
          </w:tcPr>
          <w:p w14:paraId="03842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0.511</w:t>
            </w:r>
          </w:p>
        </w:tc>
        <w:tc>
          <w:tcPr>
            <w:tcW w:w="613" w:type="pct"/>
            <w:noWrap w:val="0"/>
            <w:vAlign w:val="center"/>
          </w:tcPr>
          <w:p w14:paraId="3F1BF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noWrap w:val="0"/>
            <w:vAlign w:val="center"/>
          </w:tcPr>
          <w:p w14:paraId="32375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0.694</w:t>
            </w:r>
          </w:p>
        </w:tc>
        <w:tc>
          <w:tcPr>
            <w:tcW w:w="785" w:type="pct"/>
            <w:noWrap w:val="0"/>
            <w:vAlign w:val="center"/>
          </w:tcPr>
          <w:p w14:paraId="4126D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noWrap w:val="0"/>
            <w:vAlign w:val="center"/>
          </w:tcPr>
          <w:p w14:paraId="01389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0.955</w:t>
            </w:r>
          </w:p>
        </w:tc>
      </w:tr>
      <w:tr w14:paraId="1A41D4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38237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2</w:t>
            </w:r>
          </w:p>
        </w:tc>
        <w:tc>
          <w:tcPr>
            <w:tcW w:w="703" w:type="pct"/>
            <w:noWrap w:val="0"/>
            <w:vAlign w:val="center"/>
          </w:tcPr>
          <w:p w14:paraId="7585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85" w:type="pct"/>
            <w:noWrap w:val="0"/>
            <w:vAlign w:val="center"/>
          </w:tcPr>
          <w:p w14:paraId="06120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17" w:type="pct"/>
            <w:noWrap w:val="0"/>
            <w:vAlign w:val="center"/>
          </w:tcPr>
          <w:p w14:paraId="569B4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0.172</w:t>
            </w:r>
          </w:p>
        </w:tc>
        <w:tc>
          <w:tcPr>
            <w:tcW w:w="613" w:type="pct"/>
            <w:noWrap w:val="0"/>
            <w:vAlign w:val="center"/>
          </w:tcPr>
          <w:p w14:paraId="547D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23" w:type="pct"/>
            <w:noWrap w:val="0"/>
            <w:vAlign w:val="center"/>
          </w:tcPr>
          <w:p w14:paraId="52ED5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0.068</w:t>
            </w:r>
          </w:p>
        </w:tc>
        <w:tc>
          <w:tcPr>
            <w:tcW w:w="785" w:type="pct"/>
            <w:noWrap w:val="0"/>
            <w:vAlign w:val="center"/>
          </w:tcPr>
          <w:p w14:paraId="65246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545" w:type="pct"/>
            <w:noWrap w:val="0"/>
            <w:vAlign w:val="center"/>
          </w:tcPr>
          <w:p w14:paraId="6F03A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0.066</w:t>
            </w:r>
          </w:p>
        </w:tc>
      </w:tr>
      <w:tr w14:paraId="0F0B4F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7B29E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3</w:t>
            </w:r>
          </w:p>
        </w:tc>
        <w:tc>
          <w:tcPr>
            <w:tcW w:w="703" w:type="pct"/>
            <w:noWrap w:val="0"/>
            <w:vAlign w:val="center"/>
          </w:tcPr>
          <w:p w14:paraId="67B25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85" w:type="pct"/>
            <w:noWrap w:val="0"/>
            <w:vAlign w:val="center"/>
          </w:tcPr>
          <w:p w14:paraId="14C37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417" w:type="pct"/>
            <w:noWrap w:val="0"/>
            <w:vAlign w:val="center"/>
          </w:tcPr>
          <w:p w14:paraId="4BBA8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3" w:type="pct"/>
            <w:noWrap w:val="0"/>
            <w:vAlign w:val="center"/>
          </w:tcPr>
          <w:p w14:paraId="635DA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23" w:type="pct"/>
            <w:noWrap w:val="0"/>
            <w:vAlign w:val="center"/>
          </w:tcPr>
          <w:p w14:paraId="52F09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85" w:type="pct"/>
            <w:noWrap w:val="0"/>
            <w:vAlign w:val="center"/>
          </w:tcPr>
          <w:p w14:paraId="254B2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45" w:type="pct"/>
            <w:noWrap w:val="0"/>
            <w:vAlign w:val="center"/>
          </w:tcPr>
          <w:p w14:paraId="1AC78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E6383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8"/>
            <w:noWrap w:val="0"/>
            <w:vAlign w:val="center"/>
          </w:tcPr>
          <w:p w14:paraId="2E821B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Among 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neonate-mother pairs with maternal blood samples collected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≤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13 weeks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gestation</w:t>
            </w:r>
          </w:p>
        </w:tc>
      </w:tr>
      <w:tr w14:paraId="50F8EE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9F75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Per unit 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decrease</w:t>
            </w:r>
          </w:p>
        </w:tc>
        <w:tc>
          <w:tcPr>
            <w:tcW w:w="703" w:type="pct"/>
            <w:noWrap w:val="0"/>
            <w:vAlign w:val="center"/>
          </w:tcPr>
          <w:p w14:paraId="6DC69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85" w:type="pct"/>
            <w:noWrap w:val="0"/>
            <w:vAlign w:val="center"/>
          </w:tcPr>
          <w:p w14:paraId="68F21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 (0.34, 1.33)</w:t>
            </w:r>
          </w:p>
        </w:tc>
        <w:tc>
          <w:tcPr>
            <w:tcW w:w="417" w:type="pct"/>
            <w:noWrap w:val="0"/>
            <w:vAlign w:val="center"/>
          </w:tcPr>
          <w:p w14:paraId="31394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0.257</w:t>
            </w:r>
          </w:p>
        </w:tc>
        <w:tc>
          <w:tcPr>
            <w:tcW w:w="613" w:type="pct"/>
            <w:noWrap w:val="0"/>
            <w:vAlign w:val="center"/>
          </w:tcPr>
          <w:p w14:paraId="43426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 (0.28, 1.45)</w:t>
            </w:r>
          </w:p>
        </w:tc>
        <w:tc>
          <w:tcPr>
            <w:tcW w:w="523" w:type="pct"/>
            <w:noWrap w:val="0"/>
            <w:vAlign w:val="center"/>
          </w:tcPr>
          <w:p w14:paraId="4C88F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0.286</w:t>
            </w:r>
          </w:p>
        </w:tc>
        <w:tc>
          <w:tcPr>
            <w:tcW w:w="785" w:type="pct"/>
            <w:noWrap w:val="0"/>
            <w:vAlign w:val="center"/>
          </w:tcPr>
          <w:p w14:paraId="531DA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 (0.28,1.45)</w:t>
            </w:r>
          </w:p>
        </w:tc>
        <w:tc>
          <w:tcPr>
            <w:tcW w:w="545" w:type="pct"/>
            <w:noWrap w:val="0"/>
            <w:vAlign w:val="center"/>
          </w:tcPr>
          <w:p w14:paraId="5F539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0.285</w:t>
            </w:r>
          </w:p>
        </w:tc>
      </w:tr>
      <w:tr w14:paraId="1081E17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AE00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1</w:t>
            </w:r>
          </w:p>
        </w:tc>
        <w:tc>
          <w:tcPr>
            <w:tcW w:w="703" w:type="pct"/>
            <w:noWrap w:val="0"/>
            <w:vAlign w:val="center"/>
          </w:tcPr>
          <w:p w14:paraId="205F8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10/22</w:t>
            </w:r>
          </w:p>
        </w:tc>
        <w:tc>
          <w:tcPr>
            <w:tcW w:w="785" w:type="pct"/>
            <w:noWrap w:val="0"/>
            <w:vAlign w:val="center"/>
          </w:tcPr>
          <w:p w14:paraId="7BA5E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 (0.12, 1.83)</w:t>
            </w:r>
          </w:p>
        </w:tc>
        <w:tc>
          <w:tcPr>
            <w:tcW w:w="417" w:type="pct"/>
            <w:noWrap w:val="0"/>
            <w:vAlign w:val="center"/>
          </w:tcPr>
          <w:p w14:paraId="7731E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0.268</w:t>
            </w:r>
          </w:p>
        </w:tc>
        <w:tc>
          <w:tcPr>
            <w:tcW w:w="613" w:type="pct"/>
            <w:noWrap w:val="0"/>
            <w:vAlign w:val="center"/>
          </w:tcPr>
          <w:p w14:paraId="0BF4F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 (0.08, 2.45)</w:t>
            </w:r>
          </w:p>
        </w:tc>
        <w:tc>
          <w:tcPr>
            <w:tcW w:w="523" w:type="pct"/>
            <w:noWrap w:val="0"/>
            <w:vAlign w:val="center"/>
          </w:tcPr>
          <w:p w14:paraId="7A8C4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0.351</w:t>
            </w:r>
          </w:p>
        </w:tc>
        <w:tc>
          <w:tcPr>
            <w:tcW w:w="785" w:type="pct"/>
            <w:noWrap w:val="0"/>
            <w:vAlign w:val="center"/>
          </w:tcPr>
          <w:p w14:paraId="29047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 (0.08, 2.43)</w:t>
            </w:r>
          </w:p>
        </w:tc>
        <w:tc>
          <w:tcPr>
            <w:tcW w:w="545" w:type="pct"/>
            <w:noWrap w:val="0"/>
            <w:vAlign w:val="center"/>
          </w:tcPr>
          <w:p w14:paraId="22F5A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0.346</w:t>
            </w:r>
          </w:p>
        </w:tc>
      </w:tr>
      <w:tr w14:paraId="4ED67F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AD84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2</w:t>
            </w:r>
          </w:p>
        </w:tc>
        <w:tc>
          <w:tcPr>
            <w:tcW w:w="703" w:type="pct"/>
            <w:noWrap w:val="0"/>
            <w:vAlign w:val="center"/>
          </w:tcPr>
          <w:p w14:paraId="38CC4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10/25</w:t>
            </w:r>
          </w:p>
        </w:tc>
        <w:tc>
          <w:tcPr>
            <w:tcW w:w="785" w:type="pct"/>
            <w:noWrap w:val="0"/>
            <w:vAlign w:val="center"/>
          </w:tcPr>
          <w:p w14:paraId="1CC3D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 (0.11, 1.29)</w:t>
            </w:r>
          </w:p>
        </w:tc>
        <w:tc>
          <w:tcPr>
            <w:tcW w:w="417" w:type="pct"/>
            <w:noWrap w:val="0"/>
            <w:vAlign w:val="center"/>
          </w:tcPr>
          <w:p w14:paraId="007D8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0.118</w:t>
            </w:r>
          </w:p>
        </w:tc>
        <w:tc>
          <w:tcPr>
            <w:tcW w:w="613" w:type="pct"/>
            <w:noWrap w:val="0"/>
            <w:vAlign w:val="center"/>
          </w:tcPr>
          <w:p w14:paraId="76151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 (0.06, 1.10)</w:t>
            </w:r>
          </w:p>
        </w:tc>
        <w:tc>
          <w:tcPr>
            <w:tcW w:w="523" w:type="pct"/>
            <w:noWrap w:val="0"/>
            <w:vAlign w:val="center"/>
          </w:tcPr>
          <w:p w14:paraId="1B631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0.067</w:t>
            </w:r>
          </w:p>
        </w:tc>
        <w:tc>
          <w:tcPr>
            <w:tcW w:w="785" w:type="pct"/>
            <w:noWrap w:val="0"/>
            <w:vAlign w:val="center"/>
          </w:tcPr>
          <w:p w14:paraId="7A85E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 (0.06, 1.09)</w:t>
            </w:r>
          </w:p>
        </w:tc>
        <w:tc>
          <w:tcPr>
            <w:tcW w:w="545" w:type="pct"/>
            <w:noWrap w:val="0"/>
            <w:vAlign w:val="center"/>
          </w:tcPr>
          <w:p w14:paraId="248A2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0.065</w:t>
            </w:r>
          </w:p>
        </w:tc>
      </w:tr>
      <w:tr w14:paraId="5CE765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6" w:type="pct"/>
            <w:noWrap w:val="0"/>
            <w:vAlign w:val="center"/>
          </w:tcPr>
          <w:p w14:paraId="17E20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Tertile 3</w:t>
            </w:r>
          </w:p>
        </w:tc>
        <w:tc>
          <w:tcPr>
            <w:tcW w:w="703" w:type="pct"/>
            <w:noWrap w:val="0"/>
            <w:vAlign w:val="center"/>
          </w:tcPr>
          <w:p w14:paraId="59DC7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17/27</w:t>
            </w:r>
          </w:p>
        </w:tc>
        <w:tc>
          <w:tcPr>
            <w:tcW w:w="785" w:type="pct"/>
            <w:noWrap w:val="0"/>
            <w:vAlign w:val="center"/>
          </w:tcPr>
          <w:p w14:paraId="2C278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417" w:type="pct"/>
            <w:noWrap w:val="0"/>
            <w:vAlign w:val="center"/>
          </w:tcPr>
          <w:p w14:paraId="7EFBE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3" w:type="pct"/>
            <w:noWrap w:val="0"/>
            <w:vAlign w:val="center"/>
          </w:tcPr>
          <w:p w14:paraId="3EE76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23" w:type="pct"/>
            <w:noWrap w:val="0"/>
            <w:vAlign w:val="center"/>
          </w:tcPr>
          <w:p w14:paraId="6C747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85" w:type="pct"/>
            <w:noWrap w:val="0"/>
            <w:vAlign w:val="center"/>
          </w:tcPr>
          <w:p w14:paraId="46792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Reference</w:t>
            </w:r>
          </w:p>
        </w:tc>
        <w:tc>
          <w:tcPr>
            <w:tcW w:w="545" w:type="pct"/>
            <w:noWrap w:val="0"/>
            <w:vAlign w:val="center"/>
          </w:tcPr>
          <w:p w14:paraId="164E7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6BC7CB26">
      <w:pP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</w:pPr>
      <w:r>
        <w:rPr>
          <w:rStyle w:val="11"/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>OR</w:t>
      </w:r>
      <w:r>
        <w:rPr>
          <w:rStyle w:val="10"/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 xml:space="preserve"> (95%</w:t>
      </w:r>
      <w:r>
        <w:rPr>
          <w:rStyle w:val="11"/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>CI</w:t>
      </w:r>
      <w:r>
        <w:rPr>
          <w:rStyle w:val="10"/>
          <w:rFonts w:hint="default" w:ascii="Times New Roman" w:hAnsi="Times New Roman" w:eastAsia="宋体" w:cs="Times New Roman"/>
          <w:sz w:val="21"/>
          <w:szCs w:val="21"/>
          <w:lang w:val="en-US" w:eastAsia="zh-CN" w:bidi="ar"/>
        </w:rPr>
        <w:t xml:space="preserve">) was estimated by 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multivariate conditional logistic regression</w:t>
      </w:r>
    </w:p>
    <w:p w14:paraId="4C506D2B">
      <w:pP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>Model 2 was conducted with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adjusting for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pre-pregnancy BMI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maternal age.</w:t>
      </w:r>
    </w:p>
    <w:p w14:paraId="1C50EA99">
      <w:pP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>Model 3 was conducted with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adjusting for pre-pregnancy BMI, maternal age, and neonatal sex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>.</w:t>
      </w:r>
    </w:p>
    <w:p w14:paraId="08D0BA5C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 New Roman Uni">
    <w:altName w:val="宋体"/>
    <w:panose1 w:val="02020603050405020304"/>
    <w:charset w:val="86"/>
    <w:family w:val="roman"/>
    <w:pitch w:val="default"/>
    <w:sig w:usb0="00000000" w:usb1="00000000" w:usb2="0000003E" w:usb3="00000000" w:csb0="001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AE65DE"/>
    <w:multiLevelType w:val="singleLevel"/>
    <w:tmpl w:val="A5AE65DE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yZDU0ZmViYzFlM2I1NjVhZDJkMjVmNTc1MjZlOGMifQ=="/>
  </w:docVars>
  <w:rsids>
    <w:rsidRoot w:val="00000000"/>
    <w:rsid w:val="01A70992"/>
    <w:rsid w:val="02357E68"/>
    <w:rsid w:val="065565D3"/>
    <w:rsid w:val="07E6016A"/>
    <w:rsid w:val="0C0E4935"/>
    <w:rsid w:val="11777CE1"/>
    <w:rsid w:val="22E521C8"/>
    <w:rsid w:val="24D837E9"/>
    <w:rsid w:val="34DB5372"/>
    <w:rsid w:val="39C41F91"/>
    <w:rsid w:val="50243BCB"/>
    <w:rsid w:val="506C73AA"/>
    <w:rsid w:val="5A15227A"/>
    <w:rsid w:val="5A2D220B"/>
    <w:rsid w:val="61D2560A"/>
    <w:rsid w:val="6D2E7BC3"/>
    <w:rsid w:val="6EE92FA5"/>
    <w:rsid w:val="77497D0A"/>
    <w:rsid w:val="79CC6F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uiPriority w:val="0"/>
  </w:style>
  <w:style w:type="character" w:customStyle="1" w:styleId="6">
    <w:name w:val="标题 1 Char"/>
    <w:link w:val="2"/>
    <w:uiPriority w:val="0"/>
    <w:rPr>
      <w:b/>
      <w:kern w:val="44"/>
      <w:sz w:val="44"/>
    </w:rPr>
  </w:style>
  <w:style w:type="character" w:customStyle="1" w:styleId="7">
    <w:name w:val="16"/>
    <w:basedOn w:val="5"/>
    <w:qFormat/>
    <w:uiPriority w:val="0"/>
    <w:rPr>
      <w:rFonts w:hint="eastAsia" w:ascii="宋体" w:hAnsi="宋体" w:eastAsia="宋体"/>
      <w:b/>
      <w:bCs/>
      <w:color w:val="000000"/>
      <w:sz w:val="21"/>
      <w:szCs w:val="21"/>
    </w:rPr>
  </w:style>
  <w:style w:type="character" w:customStyle="1" w:styleId="8">
    <w:name w:val="18"/>
    <w:basedOn w:val="5"/>
    <w:qFormat/>
    <w:uiPriority w:val="0"/>
    <w:rPr>
      <w:rFonts w:hint="default"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9">
    <w:name w:val="15"/>
    <w:qFormat/>
    <w:uiPriority w:val="0"/>
    <w:rPr>
      <w:rFonts w:hint="default" w:ascii="Calibri" w:hAnsi="Calibri" w:cs="Calibri"/>
      <w:sz w:val="21"/>
      <w:szCs w:val="21"/>
    </w:rPr>
  </w:style>
  <w:style w:type="character" w:customStyle="1" w:styleId="10">
    <w:name w:val="font11"/>
    <w:basedOn w:val="5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1">
    <w:name w:val="font21"/>
    <w:basedOn w:val="5"/>
    <w:qFormat/>
    <w:uiPriority w:val="0"/>
    <w:rPr>
      <w:rFonts w:hint="default" w:ascii="Times New Roman" w:hAnsi="Times New Roman" w:cs="Times New Roman"/>
      <w:i/>
      <w:i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813</Words>
  <Characters>4334</Characters>
  <Lines>0</Lines>
  <Paragraphs>0</Paragraphs>
  <TotalTime>0</TotalTime>
  <ScaleCrop>false</ScaleCrop>
  <LinksUpToDate>false</LinksUpToDate>
  <CharactersWithSpaces>4952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2024-08-07T01:58:57Z</dcterms:created>
  <dc:creator>DELL</dc:creator>
  <cp:lastModifiedBy>俞秋嫣</cp:lastModifiedBy>
  <dcterms:modified xsi:type="dcterms:W3CDTF">2025-08-11T17:00:06Z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6EA6B5C61B324B73B6E2BE1453D52B7A_13</vt:lpwstr>
  </property>
  <property fmtid="{D5CDD505-2E9C-101B-9397-08002B2CF9AE}" pid="4" name="KSOTemplateDocerSaveRecord">
    <vt:lpwstr>eyJoZGlkIjoiMDkyZDU0ZmViYzFlM2I1NjVhZDJkMjVmNTc1MjZlOGMiLCJ1c2VySWQiOiI2NTMwMjQ1MTcifQ==</vt:lpwstr>
  </property>
</Properties>
</file>